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27301" w14:textId="74AE410F" w:rsidR="008308DA" w:rsidRPr="00615C70" w:rsidRDefault="00615C70" w:rsidP="00615C70">
      <w:pPr>
        <w:jc w:val="right"/>
        <w:rPr>
          <w:rFonts w:asciiTheme="majorHAnsi" w:hAnsiTheme="majorHAnsi" w:cstheme="majorHAnsi"/>
          <w:bCs/>
        </w:rPr>
      </w:pPr>
      <w:bookmarkStart w:id="0" w:name="_Hlk166850264"/>
      <w:bookmarkEnd w:id="0"/>
      <w:r w:rsidRPr="000176C9">
        <w:rPr>
          <w:rFonts w:asciiTheme="majorHAnsi" w:hAnsiTheme="majorHAnsi" w:cstheme="majorHAnsi"/>
          <w:bCs/>
        </w:rPr>
        <w:t xml:space="preserve">May </w:t>
      </w:r>
      <w:r>
        <w:rPr>
          <w:rFonts w:asciiTheme="majorHAnsi" w:hAnsiTheme="majorHAnsi" w:cstheme="majorHAnsi"/>
          <w:bCs/>
        </w:rPr>
        <w:t>21</w:t>
      </w:r>
      <w:r w:rsidRPr="000176C9">
        <w:rPr>
          <w:rFonts w:asciiTheme="majorHAnsi" w:hAnsiTheme="majorHAnsi" w:cstheme="majorHAnsi"/>
          <w:bCs/>
        </w:rPr>
        <w:t>, 2024</w:t>
      </w:r>
    </w:p>
    <w:p w14:paraId="1FCE7B90" w14:textId="77777777" w:rsidR="00615C70" w:rsidRPr="00615C70" w:rsidRDefault="00615C70" w:rsidP="00615C70">
      <w:pPr>
        <w:spacing w:line="240" w:lineRule="auto"/>
      </w:pPr>
      <w:r w:rsidRPr="00615C70">
        <w:t>Nicole Singh</w:t>
      </w:r>
    </w:p>
    <w:p w14:paraId="4BB7A844" w14:textId="77777777" w:rsidR="00615C70" w:rsidRPr="00615C70" w:rsidRDefault="00615C70" w:rsidP="00615C70">
      <w:pPr>
        <w:spacing w:line="240" w:lineRule="auto"/>
      </w:pPr>
      <w:r w:rsidRPr="00615C70">
        <w:t>Climate Protection Manager</w:t>
      </w:r>
    </w:p>
    <w:p w14:paraId="3F067DE0" w14:textId="2539EB3A" w:rsidR="00615C70" w:rsidRDefault="00615C70" w:rsidP="00615C70">
      <w:pPr>
        <w:spacing w:line="240" w:lineRule="auto"/>
      </w:pPr>
      <w:r>
        <w:t>Oregon Department of Environmental Quality</w:t>
      </w:r>
    </w:p>
    <w:p w14:paraId="7F6F3447" w14:textId="77777777" w:rsidR="00615C70" w:rsidRPr="00615C70" w:rsidRDefault="00615C70" w:rsidP="00615C70"/>
    <w:p w14:paraId="5ABE9F26" w14:textId="41CDD190" w:rsidR="00615C70" w:rsidRDefault="00615C70" w:rsidP="00615C70">
      <w:pPr>
        <w:tabs>
          <w:tab w:val="left" w:pos="810"/>
        </w:tabs>
        <w:spacing w:line="240" w:lineRule="auto"/>
        <w:rPr>
          <w:bCs/>
        </w:rPr>
      </w:pPr>
      <w:r>
        <w:t>Subject:</w:t>
      </w:r>
      <w:r>
        <w:tab/>
      </w:r>
      <w:r w:rsidRPr="00615C70">
        <w:rPr>
          <w:bCs/>
        </w:rPr>
        <w:t xml:space="preserve">Written Comment </w:t>
      </w:r>
      <w:r>
        <w:rPr>
          <w:bCs/>
        </w:rPr>
        <w:t>on</w:t>
      </w:r>
      <w:r w:rsidRPr="00615C70">
        <w:rPr>
          <w:bCs/>
        </w:rPr>
        <w:t xml:space="preserve"> </w:t>
      </w:r>
      <w:r w:rsidRPr="00615C70">
        <w:rPr>
          <w:bCs/>
        </w:rPr>
        <w:t>2024 Climate Protection Program Restoration</w:t>
      </w:r>
      <w:r w:rsidRPr="00615C70">
        <w:rPr>
          <w:bCs/>
        </w:rPr>
        <w:t xml:space="preserve"> </w:t>
      </w:r>
    </w:p>
    <w:p w14:paraId="6E6985C4" w14:textId="7412088E" w:rsidR="000E63B3" w:rsidRPr="00615C70" w:rsidRDefault="00615C70" w:rsidP="00615C70">
      <w:pPr>
        <w:tabs>
          <w:tab w:val="left" w:pos="810"/>
        </w:tabs>
        <w:spacing w:line="240" w:lineRule="auto"/>
      </w:pPr>
      <w:r>
        <w:rPr>
          <w:bCs/>
        </w:rPr>
        <w:tab/>
      </w:r>
      <w:r w:rsidRPr="00615C70">
        <w:rPr>
          <w:bCs/>
        </w:rPr>
        <w:t>Rulemaking Advisory Committee</w:t>
      </w:r>
      <w:r>
        <w:rPr>
          <w:bCs/>
        </w:rPr>
        <w:t xml:space="preserve"> Meeting</w:t>
      </w:r>
      <w:r w:rsidRPr="00615C70">
        <w:rPr>
          <w:bCs/>
        </w:rPr>
        <w:t xml:space="preserve"> </w:t>
      </w:r>
      <w:r w:rsidRPr="00615C70">
        <w:rPr>
          <w:bCs/>
        </w:rPr>
        <w:t xml:space="preserve">#2 </w:t>
      </w:r>
    </w:p>
    <w:p w14:paraId="45431AEC" w14:textId="77777777" w:rsidR="008308DA" w:rsidRPr="008308DA" w:rsidRDefault="008308DA" w:rsidP="00146258">
      <w:pPr>
        <w:pStyle w:val="NoSpacing"/>
      </w:pPr>
    </w:p>
    <w:p w14:paraId="4DAD3758" w14:textId="67FCFECD" w:rsidR="000E63B3" w:rsidRDefault="000E63B3" w:rsidP="000E63B3">
      <w:pPr>
        <w:spacing w:after="120" w:line="240" w:lineRule="auto"/>
        <w:rPr>
          <w:rFonts w:asciiTheme="majorHAnsi" w:hAnsiTheme="majorHAnsi" w:cstheme="majorHAnsi"/>
        </w:rPr>
      </w:pPr>
      <w:r w:rsidRPr="00C962C2">
        <w:rPr>
          <w:rFonts w:asciiTheme="majorHAnsi" w:hAnsiTheme="majorHAnsi" w:cstheme="majorHAnsi"/>
        </w:rPr>
        <w:t>My name is Dr. Pat DeLaquil, and I am an energy system</w:t>
      </w:r>
      <w:r>
        <w:rPr>
          <w:rFonts w:asciiTheme="majorHAnsi" w:hAnsiTheme="majorHAnsi" w:cstheme="majorHAnsi"/>
        </w:rPr>
        <w:t>s</w:t>
      </w:r>
      <w:r w:rsidRPr="00C962C2">
        <w:rPr>
          <w:rFonts w:asciiTheme="majorHAnsi" w:hAnsiTheme="majorHAnsi" w:cstheme="majorHAnsi"/>
        </w:rPr>
        <w:t xml:space="preserve"> modeler and climate policy analyst. I </w:t>
      </w:r>
      <w:r>
        <w:rPr>
          <w:rFonts w:asciiTheme="majorHAnsi" w:hAnsiTheme="majorHAnsi" w:cstheme="majorHAnsi"/>
        </w:rPr>
        <w:t xml:space="preserve">am submitting these comments on behalf of </w:t>
      </w:r>
      <w:r w:rsidRPr="00C962C2">
        <w:rPr>
          <w:rFonts w:asciiTheme="majorHAnsi" w:hAnsiTheme="majorHAnsi" w:cstheme="majorHAnsi"/>
        </w:rPr>
        <w:t xml:space="preserve">MCAT (Mobilizing Climate Action Together), which is a community of volunteers working on advancing a healthy climate and a green economy for future generations. </w:t>
      </w:r>
    </w:p>
    <w:p w14:paraId="593D0231" w14:textId="292EDB98" w:rsidR="000E63B3" w:rsidRPr="00C962C2" w:rsidRDefault="000E63B3" w:rsidP="000E63B3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MCAT has worked to</w:t>
      </w:r>
      <w:r w:rsidRPr="00C962C2">
        <w:rPr>
          <w:rFonts w:asciiTheme="majorHAnsi" w:hAnsiTheme="majorHAnsi" w:cstheme="majorHAnsi"/>
          <w:bCs/>
        </w:rPr>
        <w:t xml:space="preserve"> </w:t>
      </w:r>
      <w:r w:rsidRPr="00C962C2">
        <w:t xml:space="preserve">develop </w:t>
      </w:r>
      <w:r>
        <w:t>a strong</w:t>
      </w:r>
      <w:r w:rsidRPr="00C962C2">
        <w:t xml:space="preserve"> Climate Protection Program</w:t>
      </w:r>
      <w:r w:rsidRPr="00C962C2">
        <w:rPr>
          <w:rFonts w:asciiTheme="majorHAnsi" w:hAnsiTheme="majorHAnsi" w:cstheme="majorHAnsi"/>
          <w:bCs/>
        </w:rPr>
        <w:t xml:space="preserve"> </w:t>
      </w:r>
      <w:r w:rsidR="005316C6">
        <w:rPr>
          <w:rFonts w:asciiTheme="majorHAnsi" w:hAnsiTheme="majorHAnsi" w:cstheme="majorHAnsi"/>
          <w:bCs/>
        </w:rPr>
        <w:t xml:space="preserve">in Oregon </w:t>
      </w:r>
      <w:r>
        <w:rPr>
          <w:rFonts w:asciiTheme="majorHAnsi" w:hAnsiTheme="majorHAnsi" w:cstheme="majorHAnsi"/>
          <w:bCs/>
        </w:rPr>
        <w:t>since before</w:t>
      </w:r>
      <w:r w:rsidRPr="00C962C2">
        <w:t xml:space="preserve"> DEQ’s original 18-month rulemaking process, </w:t>
      </w:r>
      <w:r>
        <w:t xml:space="preserve">in which </w:t>
      </w:r>
      <w:r w:rsidR="00D25DF4">
        <w:t>several members</w:t>
      </w:r>
      <w:r>
        <w:t xml:space="preserve"> participated</w:t>
      </w:r>
      <w:r w:rsidR="00A00AA6">
        <w:t>,</w:t>
      </w:r>
      <w:r>
        <w:t xml:space="preserve"> along with </w:t>
      </w:r>
      <w:r w:rsidR="00D25DF4">
        <w:t xml:space="preserve">industry and </w:t>
      </w:r>
      <w:r w:rsidR="00A00AA6">
        <w:t>other environmental and social equity</w:t>
      </w:r>
      <w:r>
        <w:t xml:space="preserve"> </w:t>
      </w:r>
      <w:r w:rsidR="00D25DF4">
        <w:t>stakeholders</w:t>
      </w:r>
      <w:r w:rsidR="00A00AA6">
        <w:t>,</w:t>
      </w:r>
      <w:r>
        <w:t xml:space="preserve"> and the </w:t>
      </w:r>
      <w:r w:rsidRPr="00C962C2">
        <w:t xml:space="preserve">thousands of Oregonians who submitted </w:t>
      </w:r>
      <w:r>
        <w:t xml:space="preserve">supporting </w:t>
      </w:r>
      <w:r w:rsidRPr="00C962C2">
        <w:t>comments to DEQ</w:t>
      </w:r>
      <w:r>
        <w:t xml:space="preserve">.  </w:t>
      </w:r>
      <w:r w:rsidRPr="00C962C2">
        <w:t xml:space="preserve"> </w:t>
      </w:r>
      <w:r w:rsidR="00D25DF4">
        <w:t xml:space="preserve">We </w:t>
      </w:r>
      <w:r w:rsidR="00A00AA6">
        <w:t>are encouraged by</w:t>
      </w:r>
      <w:r w:rsidRPr="00C962C2">
        <w:t xml:space="preserve"> DEQ’s stated goals to </w:t>
      </w:r>
      <w:r w:rsidR="00D25DF4">
        <w:t>restore the Climate Protection Plan with</w:t>
      </w:r>
      <w:r w:rsidRPr="00C962C2">
        <w:t xml:space="preserve"> enforceable </w:t>
      </w:r>
      <w:r>
        <w:t>and</w:t>
      </w:r>
      <w:r w:rsidRPr="00C962C2">
        <w:t xml:space="preserve"> declining limits on fossil fuels beginning in 2025 with a comparable scope and emissions reduction ambitions as </w:t>
      </w:r>
      <w:r w:rsidR="00D25DF4">
        <w:t xml:space="preserve">original </w:t>
      </w:r>
      <w:r w:rsidRPr="00C962C2">
        <w:t xml:space="preserve">CPP. </w:t>
      </w:r>
      <w:r w:rsidR="00D25DF4">
        <w:t xml:space="preserve"> We have the following comments relative to the discussion at the 2</w:t>
      </w:r>
      <w:r w:rsidR="00D25DF4" w:rsidRPr="00D25DF4">
        <w:rPr>
          <w:vertAlign w:val="superscript"/>
        </w:rPr>
        <w:t>nd</w:t>
      </w:r>
      <w:r w:rsidR="00D25DF4">
        <w:t xml:space="preserve"> RAC meeting.</w:t>
      </w:r>
    </w:p>
    <w:p w14:paraId="7AEAEDC2" w14:textId="3362C439" w:rsidR="00D25DF4" w:rsidRPr="00D25DF4" w:rsidRDefault="00D25DF4" w:rsidP="00D25DF4">
      <w:pPr>
        <w:pStyle w:val="Heading2"/>
      </w:pPr>
      <w:r w:rsidRPr="00D25DF4">
        <w:t>Baseline Cap</w:t>
      </w:r>
    </w:p>
    <w:p w14:paraId="4254E10F" w14:textId="7CEA5179" w:rsidR="009E1C30" w:rsidRDefault="000E63B3" w:rsidP="009E1C30">
      <w:pPr>
        <w:spacing w:after="120" w:line="240" w:lineRule="auto"/>
        <w:rPr>
          <w:rFonts w:asciiTheme="majorHAnsi" w:hAnsiTheme="majorHAnsi" w:cstheme="majorHAnsi"/>
        </w:rPr>
      </w:pPr>
      <w:r w:rsidRPr="00E6572F">
        <w:rPr>
          <w:rFonts w:asciiTheme="majorHAnsi" w:hAnsiTheme="majorHAnsi" w:cstheme="majorHAnsi"/>
        </w:rPr>
        <w:t xml:space="preserve">The value of the baseline (or initial year) emissions cap is one of the most critical adjustments required by the delay in implementing the CPP.   </w:t>
      </w:r>
      <w:r w:rsidR="008A1654" w:rsidRPr="00E6572F">
        <w:rPr>
          <w:rFonts w:asciiTheme="majorHAnsi" w:hAnsiTheme="majorHAnsi" w:cstheme="majorHAnsi"/>
        </w:rPr>
        <w:t>Th</w:t>
      </w:r>
      <w:r w:rsidR="008A1654">
        <w:rPr>
          <w:rFonts w:asciiTheme="majorHAnsi" w:hAnsiTheme="majorHAnsi" w:cstheme="majorHAnsi"/>
        </w:rPr>
        <w:t>e 2017 to 2023 data</w:t>
      </w:r>
      <w:r w:rsidR="008A1654">
        <w:t>,</w:t>
      </w:r>
      <w:r w:rsidR="008A1654">
        <w:rPr>
          <w:rFonts w:asciiTheme="majorHAnsi" w:hAnsiTheme="majorHAnsi" w:cstheme="majorHAnsi"/>
        </w:rPr>
        <w:t xml:space="preserve"> </w:t>
      </w:r>
      <w:r w:rsidRPr="00E6572F">
        <w:rPr>
          <w:rFonts w:asciiTheme="majorHAnsi" w:hAnsiTheme="majorHAnsi" w:cstheme="majorHAnsi"/>
        </w:rPr>
        <w:t>as provided by DEQ</w:t>
      </w:r>
      <w:r w:rsidR="008A1654">
        <w:rPr>
          <w:rFonts w:asciiTheme="majorHAnsi" w:hAnsiTheme="majorHAnsi" w:cstheme="majorHAnsi"/>
        </w:rPr>
        <w:t xml:space="preserve"> in </w:t>
      </w:r>
      <w:r w:rsidR="008A1654">
        <w:t xml:space="preserve">Table 1 of the </w:t>
      </w:r>
      <w:r w:rsidR="008A1654" w:rsidRPr="008A1654">
        <w:t>2025 Base Cap Adjustment</w:t>
      </w:r>
      <w:r w:rsidR="008A1654">
        <w:t xml:space="preserve"> section of the </w:t>
      </w:r>
      <w:r w:rsidR="008A1654" w:rsidRPr="00B82E2B">
        <w:rPr>
          <w:rFonts w:asciiTheme="majorHAnsi" w:hAnsiTheme="majorHAnsi" w:cstheme="majorHAnsi"/>
        </w:rPr>
        <w:t xml:space="preserve">Emissions </w:t>
      </w:r>
      <w:r w:rsidR="008A1654">
        <w:rPr>
          <w:rFonts w:asciiTheme="majorHAnsi" w:hAnsiTheme="majorHAnsi" w:cstheme="majorHAnsi"/>
        </w:rPr>
        <w:t>C</w:t>
      </w:r>
      <w:r w:rsidR="008A1654" w:rsidRPr="00B82E2B">
        <w:rPr>
          <w:rFonts w:asciiTheme="majorHAnsi" w:hAnsiTheme="majorHAnsi" w:cstheme="majorHAnsi"/>
        </w:rPr>
        <w:t>ap</w:t>
      </w:r>
      <w:r w:rsidR="008A1654">
        <w:rPr>
          <w:rFonts w:asciiTheme="majorHAnsi" w:hAnsiTheme="majorHAnsi" w:cstheme="majorHAnsi"/>
        </w:rPr>
        <w:t xml:space="preserve"> </w:t>
      </w:r>
      <w:r w:rsidR="008A1654" w:rsidRPr="00B82E2B">
        <w:rPr>
          <w:rFonts w:asciiTheme="majorHAnsi" w:hAnsiTheme="majorHAnsi" w:cstheme="majorHAnsi"/>
        </w:rPr>
        <w:t>Rulemaking Brief</w:t>
      </w:r>
      <w:r w:rsidR="005316C6">
        <w:rPr>
          <w:rFonts w:asciiTheme="majorHAnsi" w:hAnsiTheme="majorHAnsi" w:cstheme="majorHAnsi"/>
        </w:rPr>
        <w:t>,</w:t>
      </w:r>
      <w:r w:rsidR="008A1654">
        <w:rPr>
          <w:rFonts w:asciiTheme="majorHAnsi" w:hAnsiTheme="majorHAnsi" w:cstheme="majorHAnsi"/>
        </w:rPr>
        <w:t xml:space="preserve"> shows </w:t>
      </w:r>
      <w:r w:rsidRPr="00E6572F">
        <w:rPr>
          <w:rFonts w:asciiTheme="majorHAnsi" w:hAnsiTheme="majorHAnsi" w:cstheme="majorHAnsi"/>
        </w:rPr>
        <w:t>current emissions below the original 2025 target</w:t>
      </w:r>
      <w:r w:rsidR="005316C6">
        <w:rPr>
          <w:rFonts w:asciiTheme="majorHAnsi" w:hAnsiTheme="majorHAnsi" w:cstheme="majorHAnsi"/>
        </w:rPr>
        <w:t xml:space="preserve">.  This is a </w:t>
      </w:r>
      <w:r w:rsidR="009E1C30">
        <w:rPr>
          <w:rFonts w:asciiTheme="majorHAnsi" w:hAnsiTheme="majorHAnsi" w:cstheme="majorHAnsi"/>
        </w:rPr>
        <w:t>clear</w:t>
      </w:r>
      <w:r w:rsidR="005316C6">
        <w:rPr>
          <w:rFonts w:asciiTheme="majorHAnsi" w:hAnsiTheme="majorHAnsi" w:cstheme="majorHAnsi"/>
        </w:rPr>
        <w:t xml:space="preserve"> indication that </w:t>
      </w:r>
      <w:r w:rsidR="009E1C30">
        <w:rPr>
          <w:rFonts w:asciiTheme="majorHAnsi" w:hAnsiTheme="majorHAnsi" w:cstheme="majorHAnsi"/>
        </w:rPr>
        <w:t xml:space="preserve">the 2017-2019 period was not a good predictor for the start of the 2022-2024 period, and that the initial Cap was too high.  This can be corrected as part of this rulemaking.    </w:t>
      </w:r>
    </w:p>
    <w:p w14:paraId="3B528B30" w14:textId="6DEA209F" w:rsidR="000E63B3" w:rsidRPr="00E6572F" w:rsidRDefault="009E1C30" w:rsidP="000E63B3">
      <w:pPr>
        <w:spacing w:after="120" w:line="240" w:lineRule="auto"/>
        <w:rPr>
          <w:rFonts w:asciiTheme="majorHAnsi" w:hAnsiTheme="majorHAnsi" w:cstheme="majorHAnsi"/>
        </w:rPr>
      </w:pPr>
      <w:r w:rsidRPr="00E6572F">
        <w:rPr>
          <w:rFonts w:asciiTheme="majorHAnsi" w:hAnsiTheme="majorHAnsi" w:cstheme="majorHAnsi"/>
        </w:rPr>
        <w:t>Th</w:t>
      </w:r>
      <w:r>
        <w:rPr>
          <w:rFonts w:asciiTheme="majorHAnsi" w:hAnsiTheme="majorHAnsi" w:cstheme="majorHAnsi"/>
        </w:rPr>
        <w:t xml:space="preserve">is most recent DEQ data </w:t>
      </w:r>
      <w:r w:rsidRPr="00E6572F">
        <w:rPr>
          <w:rFonts w:asciiTheme="majorHAnsi" w:hAnsiTheme="majorHAnsi" w:cstheme="majorHAnsi"/>
        </w:rPr>
        <w:t>indicate</w:t>
      </w:r>
      <w:r>
        <w:rPr>
          <w:rFonts w:asciiTheme="majorHAnsi" w:hAnsiTheme="majorHAnsi" w:cstheme="majorHAnsi"/>
        </w:rPr>
        <w:t>s</w:t>
      </w:r>
      <w:r w:rsidRPr="00E6572F">
        <w:rPr>
          <w:rFonts w:asciiTheme="majorHAnsi" w:hAnsiTheme="majorHAnsi" w:cstheme="majorHAnsi"/>
        </w:rPr>
        <w:t xml:space="preserve"> that maintaining the original CPP cap for 2025 (of 25.8 </w:t>
      </w:r>
      <w:proofErr w:type="spellStart"/>
      <w:r w:rsidRPr="00E6572F">
        <w:rPr>
          <w:rFonts w:asciiTheme="majorHAnsi" w:hAnsiTheme="majorHAnsi" w:cstheme="majorHAnsi"/>
        </w:rPr>
        <w:t>MMt</w:t>
      </w:r>
      <w:proofErr w:type="spellEnd"/>
      <w:r w:rsidRPr="00E6572F">
        <w:rPr>
          <w:rFonts w:asciiTheme="majorHAnsi" w:hAnsiTheme="majorHAnsi" w:cstheme="majorHAnsi"/>
        </w:rPr>
        <w:t>) as the baseline for the revived program is both appropriate and manageable for the covered entities</w:t>
      </w:r>
      <w:r>
        <w:rPr>
          <w:rFonts w:asciiTheme="majorHAnsi" w:hAnsiTheme="majorHAnsi" w:cstheme="majorHAnsi"/>
        </w:rPr>
        <w:t xml:space="preserve">, </w:t>
      </w:r>
      <w:r w:rsidR="000E63B3" w:rsidRPr="00E6572F">
        <w:rPr>
          <w:rFonts w:asciiTheme="majorHAnsi" w:hAnsiTheme="majorHAnsi" w:cstheme="majorHAnsi"/>
        </w:rPr>
        <w:t xml:space="preserve">although emission reductions were not the same for each of the covered sectors.   Indeed, the fuel supply sector is trending down, </w:t>
      </w:r>
      <w:r w:rsidR="008A1654">
        <w:rPr>
          <w:rFonts w:asciiTheme="majorHAnsi" w:hAnsiTheme="majorHAnsi" w:cstheme="majorHAnsi"/>
        </w:rPr>
        <w:t xml:space="preserve">largely </w:t>
      </w:r>
      <w:r w:rsidR="000E63B3" w:rsidRPr="00E6572F">
        <w:rPr>
          <w:rFonts w:asciiTheme="majorHAnsi" w:hAnsiTheme="majorHAnsi" w:cstheme="majorHAnsi"/>
        </w:rPr>
        <w:t>due to the effectiveness of the Clean Fuels Program, rising demand for biodiesel, improvements in vehicle efficiency</w:t>
      </w:r>
      <w:r w:rsidR="00EE6D46">
        <w:rPr>
          <w:rFonts w:asciiTheme="majorHAnsi" w:hAnsiTheme="majorHAnsi" w:cstheme="majorHAnsi"/>
        </w:rPr>
        <w:t xml:space="preserve"> and vehicle electrification</w:t>
      </w:r>
      <w:r w:rsidR="000E63B3" w:rsidRPr="00E6572F">
        <w:rPr>
          <w:rFonts w:asciiTheme="majorHAnsi" w:hAnsiTheme="majorHAnsi" w:cstheme="majorHAnsi"/>
        </w:rPr>
        <w:t xml:space="preserve">.   </w:t>
      </w:r>
    </w:p>
    <w:p w14:paraId="77E59756" w14:textId="47948E00" w:rsidR="00A41371" w:rsidRDefault="009E1C30" w:rsidP="00A41371">
      <w:pPr>
        <w:pStyle w:val="Heading2"/>
      </w:pPr>
      <w:r>
        <w:t>2025 Check-in Validation Period</w:t>
      </w:r>
    </w:p>
    <w:p w14:paraId="337B3650" w14:textId="44447935" w:rsidR="00573453" w:rsidRDefault="00FB2605" w:rsidP="00573453">
      <w:pPr>
        <w:spacing w:after="120" w:line="240" w:lineRule="auto"/>
      </w:pPr>
      <w:r w:rsidRPr="00573453">
        <w:rPr>
          <w:rFonts w:asciiTheme="majorHAnsi" w:hAnsiTheme="majorHAnsi" w:cstheme="majorHAnsi"/>
        </w:rPr>
        <w:t>Given the delays in the original program,</w:t>
      </w:r>
      <w:r w:rsidR="00BF131C" w:rsidRPr="00573453">
        <w:rPr>
          <w:rFonts w:asciiTheme="majorHAnsi" w:hAnsiTheme="majorHAnsi" w:cstheme="majorHAnsi"/>
        </w:rPr>
        <w:t xml:space="preserve"> DEQ should make 2025 </w:t>
      </w:r>
      <w:r w:rsidRPr="00573453">
        <w:rPr>
          <w:rFonts w:asciiTheme="majorHAnsi" w:hAnsiTheme="majorHAnsi" w:cstheme="majorHAnsi"/>
        </w:rPr>
        <w:t xml:space="preserve">a check-in </w:t>
      </w:r>
      <w:r w:rsidR="00573453">
        <w:rPr>
          <w:rFonts w:asciiTheme="majorHAnsi" w:hAnsiTheme="majorHAnsi" w:cstheme="majorHAnsi"/>
        </w:rPr>
        <w:t>validation</w:t>
      </w:r>
      <w:r w:rsidR="00BF131C" w:rsidRPr="00573453">
        <w:rPr>
          <w:rFonts w:asciiTheme="majorHAnsi" w:hAnsiTheme="majorHAnsi" w:cstheme="majorHAnsi"/>
        </w:rPr>
        <w:t xml:space="preserve"> year </w:t>
      </w:r>
      <w:r w:rsidRPr="00573453">
        <w:rPr>
          <w:rFonts w:asciiTheme="majorHAnsi" w:hAnsiTheme="majorHAnsi" w:cstheme="majorHAnsi"/>
        </w:rPr>
        <w:t xml:space="preserve">to review the actual data from the 2022-2024 period, and to possibly make market share adjustments between covered sectors.  </w:t>
      </w:r>
      <w:r w:rsidR="00573453">
        <w:rPr>
          <w:rFonts w:asciiTheme="majorHAnsi" w:hAnsiTheme="majorHAnsi" w:cstheme="majorHAnsi"/>
        </w:rPr>
        <w:t xml:space="preserve">Such a Check-in period would also </w:t>
      </w:r>
      <w:r w:rsidR="00573453" w:rsidRPr="00573453">
        <w:rPr>
          <w:rFonts w:asciiTheme="majorHAnsi" w:hAnsiTheme="majorHAnsi" w:cstheme="majorHAnsi"/>
        </w:rPr>
        <w:t xml:space="preserve">allow </w:t>
      </w:r>
      <w:r w:rsidR="00573453">
        <w:rPr>
          <w:rFonts w:asciiTheme="majorHAnsi" w:hAnsiTheme="majorHAnsi" w:cstheme="majorHAnsi"/>
        </w:rPr>
        <w:t>DEQ to consider credit for covered entities</w:t>
      </w:r>
      <w:r w:rsidR="00573453" w:rsidRPr="00573453">
        <w:rPr>
          <w:rFonts w:asciiTheme="majorHAnsi" w:hAnsiTheme="majorHAnsi" w:cstheme="majorHAnsi"/>
        </w:rPr>
        <w:t xml:space="preserve"> that have </w:t>
      </w:r>
      <w:r w:rsidR="00573453">
        <w:rPr>
          <w:rFonts w:asciiTheme="majorHAnsi" w:hAnsiTheme="majorHAnsi" w:cstheme="majorHAnsi"/>
        </w:rPr>
        <w:t xml:space="preserve">taken clear actions to </w:t>
      </w:r>
      <w:r w:rsidR="00573453" w:rsidRPr="00573453">
        <w:rPr>
          <w:rFonts w:asciiTheme="majorHAnsi" w:hAnsiTheme="majorHAnsi" w:cstheme="majorHAnsi"/>
        </w:rPr>
        <w:t>compl</w:t>
      </w:r>
      <w:r w:rsidR="00573453">
        <w:rPr>
          <w:rFonts w:asciiTheme="majorHAnsi" w:hAnsiTheme="majorHAnsi" w:cstheme="majorHAnsi"/>
        </w:rPr>
        <w:t>y</w:t>
      </w:r>
      <w:r w:rsidR="00573453" w:rsidRPr="00573453">
        <w:rPr>
          <w:rFonts w:asciiTheme="majorHAnsi" w:hAnsiTheme="majorHAnsi" w:cstheme="majorHAnsi"/>
        </w:rPr>
        <w:t xml:space="preserve"> with the CPP</w:t>
      </w:r>
      <w:r w:rsidR="00573453">
        <w:rPr>
          <w:rFonts w:asciiTheme="majorHAnsi" w:hAnsiTheme="majorHAnsi" w:cstheme="majorHAnsi"/>
        </w:rPr>
        <w:t>, as discussed in the next point</w:t>
      </w:r>
      <w:r w:rsidR="00573453" w:rsidRPr="00573453">
        <w:rPr>
          <w:rFonts w:asciiTheme="majorHAnsi" w:hAnsiTheme="majorHAnsi" w:cstheme="majorHAnsi"/>
        </w:rPr>
        <w:t>.</w:t>
      </w:r>
      <w:r w:rsidR="00573453">
        <w:rPr>
          <w:rFonts w:asciiTheme="majorHAnsi" w:hAnsiTheme="majorHAnsi" w:cstheme="majorHAnsi"/>
        </w:rPr>
        <w:t xml:space="preserve">  This </w:t>
      </w:r>
      <w:r w:rsidR="00573453" w:rsidRPr="00573453">
        <w:rPr>
          <w:rFonts w:asciiTheme="majorHAnsi" w:hAnsiTheme="majorHAnsi" w:cstheme="majorHAnsi"/>
        </w:rPr>
        <w:t xml:space="preserve">check-in </w:t>
      </w:r>
      <w:r w:rsidR="00573453">
        <w:rPr>
          <w:rFonts w:asciiTheme="majorHAnsi" w:hAnsiTheme="majorHAnsi" w:cstheme="majorHAnsi"/>
        </w:rPr>
        <w:t xml:space="preserve">validation process would also determine which measurable and verifiable emission reductions should be considered for credits.   For example, </w:t>
      </w:r>
      <w:r w:rsidR="00573453" w:rsidRPr="00E6572F">
        <w:rPr>
          <w:rFonts w:asciiTheme="majorHAnsi" w:hAnsiTheme="majorHAnsi" w:cstheme="majorHAnsi"/>
        </w:rPr>
        <w:t>reductions made thru the Clean Fuel Program should not also qualify for CPP credit</w:t>
      </w:r>
      <w:r w:rsidR="00573453">
        <w:t>.</w:t>
      </w:r>
    </w:p>
    <w:p w14:paraId="73770A94" w14:textId="10C011E5" w:rsidR="009E1C30" w:rsidRPr="008A1654" w:rsidRDefault="00FB2605" w:rsidP="00573453">
      <w:pPr>
        <w:spacing w:after="120" w:line="240" w:lineRule="auto"/>
        <w:rPr>
          <w:rFonts w:asciiTheme="majorHAnsi" w:hAnsiTheme="majorHAnsi" w:cstheme="majorHAnsi"/>
        </w:rPr>
      </w:pPr>
      <w:r>
        <w:t xml:space="preserve">The first formal compliance period would still be 2025-2027, but </w:t>
      </w:r>
      <w:r w:rsidR="00573453">
        <w:t xml:space="preserve">the </w:t>
      </w:r>
      <w:r>
        <w:t xml:space="preserve">check-in </w:t>
      </w:r>
      <w:r w:rsidR="00573453">
        <w:t>validation period would give a clearer understanding of where additional efforts may be needed</w:t>
      </w:r>
      <w:r w:rsidR="00BF131C" w:rsidRPr="00BF131C">
        <w:t xml:space="preserve">.  </w:t>
      </w:r>
    </w:p>
    <w:p w14:paraId="2B0ED7BC" w14:textId="0CFB08E2" w:rsidR="009E1C30" w:rsidRPr="009E1C30" w:rsidRDefault="009E1C30" w:rsidP="009E1C30">
      <w:pPr>
        <w:pStyle w:val="Heading2"/>
      </w:pPr>
      <w:r>
        <w:t>Crediting Early Actions</w:t>
      </w:r>
    </w:p>
    <w:p w14:paraId="662E5EDD" w14:textId="4DAA9AE7" w:rsidR="00B82E2B" w:rsidRDefault="00A41371" w:rsidP="001867CC">
      <w:pPr>
        <w:spacing w:after="120" w:line="240" w:lineRule="auto"/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</w:rPr>
        <w:t xml:space="preserve">We </w:t>
      </w:r>
      <w:r w:rsidR="00573453">
        <w:rPr>
          <w:rFonts w:asciiTheme="majorHAnsi" w:hAnsiTheme="majorHAnsi" w:cstheme="majorHAnsi"/>
        </w:rPr>
        <w:t>are concerned</w:t>
      </w:r>
      <w:r>
        <w:rPr>
          <w:rFonts w:asciiTheme="majorHAnsi" w:hAnsiTheme="majorHAnsi" w:cstheme="majorHAnsi"/>
        </w:rPr>
        <w:t xml:space="preserve"> by the consideration that DEQ </w:t>
      </w:r>
      <w:r w:rsidR="005316C6">
        <w:rPr>
          <w:rFonts w:asciiTheme="majorHAnsi" w:hAnsiTheme="majorHAnsi" w:cstheme="majorHAnsi"/>
        </w:rPr>
        <w:t>has</w:t>
      </w:r>
      <w:r>
        <w:rPr>
          <w:rFonts w:asciiTheme="majorHAnsi" w:hAnsiTheme="majorHAnsi" w:cstheme="majorHAnsi"/>
        </w:rPr>
        <w:t xml:space="preserve"> giv</w:t>
      </w:r>
      <w:r w:rsidR="005316C6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 xml:space="preserve"> to idea of crediting entities for early actions taken under the now invalidated CPP</w:t>
      </w:r>
      <w:r w:rsidR="001867CC">
        <w:rPr>
          <w:rFonts w:asciiTheme="majorHAnsi" w:hAnsiTheme="majorHAnsi" w:cstheme="majorHAnsi"/>
        </w:rPr>
        <w:t xml:space="preserve">.  Given that </w:t>
      </w:r>
      <w:r>
        <w:rPr>
          <w:rFonts w:asciiTheme="majorHAnsi" w:hAnsiTheme="majorHAnsi" w:cstheme="majorHAnsi"/>
        </w:rPr>
        <w:t xml:space="preserve">we wouldn’t be </w:t>
      </w:r>
      <w:r w:rsidR="001867CC">
        <w:rPr>
          <w:rFonts w:asciiTheme="majorHAnsi" w:hAnsiTheme="majorHAnsi" w:cstheme="majorHAnsi"/>
        </w:rPr>
        <w:t>in</w:t>
      </w:r>
      <w:r>
        <w:rPr>
          <w:rFonts w:asciiTheme="majorHAnsi" w:hAnsiTheme="majorHAnsi" w:cstheme="majorHAnsi"/>
        </w:rPr>
        <w:t xml:space="preserve"> this </w:t>
      </w:r>
      <w:r w:rsidR="001867CC">
        <w:rPr>
          <w:rFonts w:asciiTheme="majorHAnsi" w:hAnsiTheme="majorHAnsi" w:cstheme="majorHAnsi"/>
        </w:rPr>
        <w:t>situation</w:t>
      </w:r>
      <w:r>
        <w:rPr>
          <w:rFonts w:asciiTheme="majorHAnsi" w:hAnsiTheme="majorHAnsi" w:cstheme="majorHAnsi"/>
        </w:rPr>
        <w:t xml:space="preserve"> if the </w:t>
      </w:r>
      <w:r w:rsidR="001867CC">
        <w:rPr>
          <w:rFonts w:asciiTheme="majorHAnsi" w:hAnsiTheme="majorHAnsi" w:cstheme="majorHAnsi"/>
        </w:rPr>
        <w:t xml:space="preserve">fuel suppliers and </w:t>
      </w:r>
      <w:r>
        <w:rPr>
          <w:rFonts w:asciiTheme="majorHAnsi" w:hAnsiTheme="majorHAnsi" w:cstheme="majorHAnsi"/>
        </w:rPr>
        <w:t xml:space="preserve">gas utilities hadn’t raised the lawsuit in the first place.  </w:t>
      </w:r>
      <w:r w:rsidR="001867CC" w:rsidRPr="001867CC">
        <w:rPr>
          <w:rFonts w:asciiTheme="majorHAnsi" w:hAnsiTheme="majorHAnsi" w:cstheme="majorHAnsi"/>
          <w:b/>
          <w:bCs/>
          <w:i/>
          <w:iCs/>
        </w:rPr>
        <w:t>DEQ should not reward any</w:t>
      </w:r>
      <w:r w:rsidRPr="001867CC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867CC" w:rsidRPr="001867CC">
        <w:rPr>
          <w:rFonts w:asciiTheme="majorHAnsi" w:hAnsiTheme="majorHAnsi" w:cstheme="majorHAnsi"/>
          <w:b/>
          <w:bCs/>
          <w:i/>
          <w:iCs/>
        </w:rPr>
        <w:t>entity that was a party to the lawsuit!</w:t>
      </w:r>
      <w:r w:rsidRPr="001867CC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1867CC">
        <w:rPr>
          <w:rFonts w:asciiTheme="majorHAnsi" w:hAnsiTheme="majorHAnsi" w:cstheme="majorHAnsi"/>
          <w:b/>
          <w:bCs/>
          <w:i/>
          <w:iCs/>
        </w:rPr>
        <w:t xml:space="preserve">   </w:t>
      </w:r>
    </w:p>
    <w:p w14:paraId="29B7721F" w14:textId="7A4896C0" w:rsidR="001867CC" w:rsidRDefault="001867CC" w:rsidP="001867CC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In </w:t>
      </w:r>
      <w:r w:rsidR="00B82E2B">
        <w:rPr>
          <w:rFonts w:asciiTheme="majorHAnsi" w:hAnsiTheme="majorHAnsi" w:cstheme="majorHAnsi"/>
        </w:rPr>
        <w:t>addition</w:t>
      </w:r>
      <w:r>
        <w:rPr>
          <w:rFonts w:asciiTheme="majorHAnsi" w:hAnsiTheme="majorHAnsi" w:cstheme="majorHAnsi"/>
        </w:rPr>
        <w:t xml:space="preserve">, </w:t>
      </w:r>
      <w:r w:rsidRPr="00B82E2B">
        <w:rPr>
          <w:rFonts w:asciiTheme="majorHAnsi" w:hAnsiTheme="majorHAnsi" w:cstheme="majorHAnsi"/>
          <w:b/>
          <w:bCs/>
        </w:rPr>
        <w:t xml:space="preserve">DEQ should not consider any additional credits until the </w:t>
      </w:r>
      <w:r w:rsidR="00573453">
        <w:rPr>
          <w:rFonts w:asciiTheme="majorHAnsi" w:hAnsiTheme="majorHAnsi" w:cstheme="majorHAnsi"/>
          <w:b/>
          <w:bCs/>
        </w:rPr>
        <w:t>check-in</w:t>
      </w:r>
      <w:r w:rsidRPr="00B82E2B">
        <w:rPr>
          <w:rFonts w:asciiTheme="majorHAnsi" w:hAnsiTheme="majorHAnsi" w:cstheme="majorHAnsi"/>
          <w:b/>
          <w:bCs/>
        </w:rPr>
        <w:t xml:space="preserve"> validation period</w:t>
      </w:r>
      <w:r>
        <w:rPr>
          <w:rFonts w:asciiTheme="majorHAnsi" w:hAnsiTheme="majorHAnsi" w:cstheme="majorHAnsi"/>
        </w:rPr>
        <w:t xml:space="preserve"> for the following reasons:</w:t>
      </w:r>
    </w:p>
    <w:p w14:paraId="757EB021" w14:textId="183EEC6D" w:rsidR="00B82E2B" w:rsidRDefault="00B82E2B" w:rsidP="00B82E2B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Many other factors contributed to the reductions in overall emissions, including</w:t>
      </w:r>
      <w:r w:rsidRPr="001867CC">
        <w:rPr>
          <w:rFonts w:asciiTheme="majorHAnsi" w:hAnsiTheme="majorHAnsi" w:cstheme="majorHAnsi"/>
        </w:rPr>
        <w:t xml:space="preserve"> in vehicle efficiency</w:t>
      </w:r>
      <w:r>
        <w:rPr>
          <w:rFonts w:asciiTheme="majorHAnsi" w:hAnsiTheme="majorHAnsi" w:cstheme="majorHAnsi"/>
        </w:rPr>
        <w:t xml:space="preserve"> gains and electrification, and changing habits, and</w:t>
      </w:r>
      <w:r w:rsidRPr="001867CC">
        <w:rPr>
          <w:rFonts w:asciiTheme="majorHAnsi" w:hAnsiTheme="majorHAnsi" w:cstheme="majorHAnsi"/>
        </w:rPr>
        <w:t xml:space="preserve">  </w:t>
      </w:r>
    </w:p>
    <w:p w14:paraId="5D762DE3" w14:textId="137B8216" w:rsidR="001867CC" w:rsidRDefault="005316C6" w:rsidP="001867CC">
      <w:pPr>
        <w:pStyle w:val="ListParagraph"/>
        <w:numPr>
          <w:ilvl w:val="0"/>
          <w:numId w:val="10"/>
        </w:num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Criteria are needed to identify </w:t>
      </w:r>
      <w:r w:rsidR="001867CC" w:rsidRPr="001867CC">
        <w:rPr>
          <w:rFonts w:asciiTheme="majorHAnsi" w:hAnsiTheme="majorHAnsi" w:cstheme="majorHAnsi"/>
        </w:rPr>
        <w:t xml:space="preserve">biofuel sales </w:t>
      </w:r>
      <w:r>
        <w:rPr>
          <w:rFonts w:asciiTheme="majorHAnsi" w:hAnsiTheme="majorHAnsi" w:cstheme="majorHAnsi"/>
        </w:rPr>
        <w:t>that qualify for CPP purposes</w:t>
      </w:r>
      <w:r w:rsidR="00B82E2B">
        <w:rPr>
          <w:rFonts w:asciiTheme="majorHAnsi" w:hAnsiTheme="majorHAnsi" w:cstheme="majorHAnsi"/>
        </w:rPr>
        <w:t>.</w:t>
      </w:r>
    </w:p>
    <w:p w14:paraId="1FD21ED2" w14:textId="2237AC17" w:rsidR="000E63B3" w:rsidRDefault="00B82E2B" w:rsidP="000E63B3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Indeed, the example provided by DEQ in Table 1 of the </w:t>
      </w:r>
      <w:r w:rsidR="00EE6D46" w:rsidRPr="00EE6D46">
        <w:rPr>
          <w:rFonts w:asciiTheme="majorHAnsi" w:hAnsiTheme="majorHAnsi" w:cstheme="majorHAnsi"/>
        </w:rPr>
        <w:t>CPP Base Cap Distribution</w:t>
      </w:r>
      <w:r w:rsidR="00EE6D46">
        <w:rPr>
          <w:rFonts w:asciiTheme="majorHAnsi" w:hAnsiTheme="majorHAnsi" w:cstheme="majorHAnsi"/>
        </w:rPr>
        <w:t xml:space="preserve"> section o</w:t>
      </w:r>
      <w:r w:rsidR="008A1654">
        <w:rPr>
          <w:rFonts w:asciiTheme="majorHAnsi" w:hAnsiTheme="majorHAnsi" w:cstheme="majorHAnsi"/>
        </w:rPr>
        <w:t>f</w:t>
      </w:r>
      <w:r w:rsidR="00EE6D46">
        <w:rPr>
          <w:rFonts w:asciiTheme="majorHAnsi" w:hAnsiTheme="majorHAnsi" w:cstheme="majorHAnsi"/>
        </w:rPr>
        <w:t xml:space="preserve"> the </w:t>
      </w:r>
      <w:r w:rsidR="008A1654" w:rsidRPr="00B82E2B">
        <w:rPr>
          <w:rFonts w:asciiTheme="majorHAnsi" w:hAnsiTheme="majorHAnsi" w:cstheme="majorHAnsi"/>
        </w:rPr>
        <w:t xml:space="preserve">Emissions </w:t>
      </w:r>
      <w:r w:rsidR="008A1654">
        <w:rPr>
          <w:rFonts w:asciiTheme="majorHAnsi" w:hAnsiTheme="majorHAnsi" w:cstheme="majorHAnsi"/>
        </w:rPr>
        <w:t>C</w:t>
      </w:r>
      <w:r w:rsidR="008A1654" w:rsidRPr="00B82E2B">
        <w:rPr>
          <w:rFonts w:asciiTheme="majorHAnsi" w:hAnsiTheme="majorHAnsi" w:cstheme="majorHAnsi"/>
        </w:rPr>
        <w:t>ap</w:t>
      </w:r>
      <w:r w:rsidR="008A1654">
        <w:rPr>
          <w:rFonts w:asciiTheme="majorHAnsi" w:hAnsiTheme="majorHAnsi" w:cstheme="majorHAnsi"/>
        </w:rPr>
        <w:t xml:space="preserve"> </w:t>
      </w:r>
      <w:r w:rsidRPr="00B82E2B">
        <w:rPr>
          <w:rFonts w:asciiTheme="majorHAnsi" w:hAnsiTheme="majorHAnsi" w:cstheme="majorHAnsi"/>
        </w:rPr>
        <w:t>Rulemaking Brief</w:t>
      </w:r>
      <w:r>
        <w:rPr>
          <w:rFonts w:asciiTheme="majorHAnsi" w:hAnsiTheme="majorHAnsi" w:cstheme="majorHAnsi"/>
        </w:rPr>
        <w:t xml:space="preserve"> was </w:t>
      </w:r>
      <w:r w:rsidR="00AB7E05">
        <w:rPr>
          <w:rFonts w:asciiTheme="majorHAnsi" w:hAnsiTheme="majorHAnsi" w:cstheme="majorHAnsi"/>
        </w:rPr>
        <w:t xml:space="preserve">quite </w:t>
      </w:r>
      <w:r>
        <w:rPr>
          <w:rFonts w:asciiTheme="majorHAnsi" w:hAnsiTheme="majorHAnsi" w:cstheme="majorHAnsi"/>
        </w:rPr>
        <w:t xml:space="preserve">disturbing in the implication that </w:t>
      </w:r>
      <w:r w:rsidRPr="001867CC">
        <w:rPr>
          <w:rFonts w:asciiTheme="majorHAnsi" w:hAnsiTheme="majorHAnsi" w:cstheme="majorHAnsi"/>
        </w:rPr>
        <w:t xml:space="preserve">4 </w:t>
      </w:r>
      <w:proofErr w:type="spellStart"/>
      <w:r w:rsidRPr="001867CC">
        <w:rPr>
          <w:rFonts w:asciiTheme="majorHAnsi" w:hAnsiTheme="majorHAnsi" w:cstheme="majorHAnsi"/>
        </w:rPr>
        <w:t>MMt</w:t>
      </w:r>
      <w:proofErr w:type="spellEnd"/>
      <w:r w:rsidRPr="001867CC">
        <w:rPr>
          <w:rFonts w:asciiTheme="majorHAnsi" w:hAnsiTheme="majorHAnsi" w:cstheme="majorHAnsi"/>
        </w:rPr>
        <w:t xml:space="preserve"> </w:t>
      </w:r>
      <w:r w:rsidR="00AB7E05">
        <w:rPr>
          <w:rFonts w:asciiTheme="majorHAnsi" w:hAnsiTheme="majorHAnsi" w:cstheme="majorHAnsi"/>
        </w:rPr>
        <w:t xml:space="preserve">of allowances </w:t>
      </w:r>
      <w:r>
        <w:rPr>
          <w:rFonts w:asciiTheme="majorHAnsi" w:hAnsiTheme="majorHAnsi" w:cstheme="majorHAnsi"/>
        </w:rPr>
        <w:t>(the “extra” decrease in emissions) would be fully allocated based on sales o</w:t>
      </w:r>
      <w:r w:rsidRPr="001867CC">
        <w:rPr>
          <w:rFonts w:asciiTheme="majorHAnsi" w:hAnsiTheme="majorHAnsi" w:cstheme="majorHAnsi"/>
        </w:rPr>
        <w:t xml:space="preserve">nly the 1MMt of </w:t>
      </w:r>
      <w:r w:rsidR="00AB7E05">
        <w:rPr>
          <w:rFonts w:asciiTheme="majorHAnsi" w:hAnsiTheme="majorHAnsi" w:cstheme="majorHAnsi"/>
        </w:rPr>
        <w:t xml:space="preserve">biodiesel sales (with assumed CI=1).   Only measurable and verifiable emission reductions should be considered for credits, which is one reason that we continue to </w:t>
      </w:r>
      <w:r w:rsidR="0066157A">
        <w:rPr>
          <w:rFonts w:asciiTheme="majorHAnsi" w:hAnsiTheme="majorHAnsi" w:cstheme="majorHAnsi"/>
        </w:rPr>
        <w:t>recommend</w:t>
      </w:r>
      <w:r w:rsidR="00AB7E05">
        <w:rPr>
          <w:rFonts w:asciiTheme="majorHAnsi" w:hAnsiTheme="majorHAnsi" w:cstheme="majorHAnsi"/>
        </w:rPr>
        <w:t xml:space="preserve"> that </w:t>
      </w:r>
      <w:r w:rsidR="00AB7E05" w:rsidRPr="0066157A">
        <w:rPr>
          <w:rFonts w:asciiTheme="majorHAnsi" w:hAnsiTheme="majorHAnsi" w:cstheme="majorHAnsi"/>
          <w:b/>
          <w:bCs/>
        </w:rPr>
        <w:t xml:space="preserve">DEQ consider 2025 a </w:t>
      </w:r>
      <w:r w:rsidR="0066157A" w:rsidRPr="0066157A">
        <w:rPr>
          <w:rFonts w:asciiTheme="majorHAnsi" w:hAnsiTheme="majorHAnsi" w:cstheme="majorHAnsi"/>
          <w:b/>
          <w:bCs/>
        </w:rPr>
        <w:t>Check-In Validation Period</w:t>
      </w:r>
      <w:r w:rsidR="00AB7E05">
        <w:rPr>
          <w:rFonts w:asciiTheme="majorHAnsi" w:hAnsiTheme="majorHAnsi" w:cstheme="majorHAnsi"/>
        </w:rPr>
        <w:t xml:space="preserve">, whereby DEQ reviews the 2022 to 2024 actual emission data, </w:t>
      </w:r>
      <w:r w:rsidR="00EE6D46">
        <w:rPr>
          <w:rFonts w:asciiTheme="majorHAnsi" w:hAnsiTheme="majorHAnsi" w:cstheme="majorHAnsi"/>
        </w:rPr>
        <w:t xml:space="preserve">and compares that to the proportional market share </w:t>
      </w:r>
      <w:r w:rsidR="009E1C30">
        <w:rPr>
          <w:rFonts w:asciiTheme="majorHAnsi" w:hAnsiTheme="majorHAnsi" w:cstheme="majorHAnsi"/>
        </w:rPr>
        <w:t xml:space="preserve">of the </w:t>
      </w:r>
      <w:r w:rsidR="009E1C30" w:rsidRPr="0053465C">
        <w:rPr>
          <w:rFonts w:asciiTheme="majorHAnsi" w:hAnsiTheme="majorHAnsi" w:cstheme="majorHAnsi"/>
          <w:b/>
          <w:bCs/>
        </w:rPr>
        <w:t>new baseline emission cap</w:t>
      </w:r>
      <w:r w:rsidR="009E1C30">
        <w:rPr>
          <w:rFonts w:asciiTheme="majorHAnsi" w:hAnsiTheme="majorHAnsi" w:cstheme="majorHAnsi"/>
        </w:rPr>
        <w:t xml:space="preserve">, and provide bonus </w:t>
      </w:r>
      <w:r w:rsidR="00BF131C">
        <w:rPr>
          <w:rFonts w:asciiTheme="majorHAnsi" w:hAnsiTheme="majorHAnsi" w:cstheme="majorHAnsi"/>
        </w:rPr>
        <w:t xml:space="preserve">allowances </w:t>
      </w:r>
      <w:r w:rsidR="00F17C56">
        <w:rPr>
          <w:rFonts w:asciiTheme="majorHAnsi" w:hAnsiTheme="majorHAnsi" w:cstheme="majorHAnsi"/>
        </w:rPr>
        <w:t xml:space="preserve">only </w:t>
      </w:r>
      <w:r w:rsidR="00BF131C">
        <w:rPr>
          <w:rFonts w:asciiTheme="majorHAnsi" w:hAnsiTheme="majorHAnsi" w:cstheme="majorHAnsi"/>
        </w:rPr>
        <w:t xml:space="preserve">for direct actions, like biofuels delivery specifically for CPP credit.   </w:t>
      </w:r>
      <w:r w:rsidR="0066157A">
        <w:rPr>
          <w:rFonts w:asciiTheme="majorHAnsi" w:hAnsiTheme="majorHAnsi" w:cstheme="majorHAnsi"/>
        </w:rPr>
        <w:t xml:space="preserve">Referring to DEQ’s Table 1 referenced above, assuming both Fuel Suppliers had equal market shares </w:t>
      </w:r>
      <w:r w:rsidR="00A00AA6">
        <w:rPr>
          <w:rFonts w:asciiTheme="majorHAnsi" w:hAnsiTheme="majorHAnsi" w:cstheme="majorHAnsi"/>
        </w:rPr>
        <w:t>and that their reported biofuel deliveries were specifically for the CPP, then</w:t>
      </w:r>
      <w:r w:rsidR="00BF131C">
        <w:rPr>
          <w:rFonts w:asciiTheme="majorHAnsi" w:hAnsiTheme="majorHAnsi" w:cstheme="majorHAnsi"/>
        </w:rPr>
        <w:t xml:space="preserve"> Fuel Supplier A would get 250,000 Mt of bonus allowances and Fuel Supplier B would get 750,000 Mt of bonus allowances.</w:t>
      </w:r>
    </w:p>
    <w:p w14:paraId="639C5782" w14:textId="77777777" w:rsidR="008308DA" w:rsidRDefault="008308DA" w:rsidP="008308DA">
      <w:pPr>
        <w:pStyle w:val="Heading2"/>
      </w:pPr>
      <w:r>
        <w:t>Community Climate Investments</w:t>
      </w:r>
    </w:p>
    <w:p w14:paraId="7FD5F9CD" w14:textId="07ED58C6" w:rsidR="008308DA" w:rsidRDefault="008308DA" w:rsidP="008308DA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Some c</w:t>
      </w:r>
      <w:r w:rsidRPr="00E6572F">
        <w:rPr>
          <w:rFonts w:asciiTheme="majorHAnsi" w:hAnsiTheme="majorHAnsi" w:cstheme="majorHAnsi"/>
        </w:rPr>
        <w:t>oncern</w:t>
      </w:r>
      <w:r>
        <w:rPr>
          <w:rFonts w:asciiTheme="majorHAnsi" w:hAnsiTheme="majorHAnsi" w:cstheme="majorHAnsi"/>
        </w:rPr>
        <w:t>s</w:t>
      </w:r>
      <w:r w:rsidRPr="00E6572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were</w:t>
      </w:r>
      <w:r w:rsidRPr="00E6572F">
        <w:rPr>
          <w:rFonts w:asciiTheme="majorHAnsi" w:hAnsiTheme="majorHAnsi" w:cstheme="majorHAnsi"/>
        </w:rPr>
        <w:t xml:space="preserve"> expressed that Community Climate Investments (CCIs) are uncertain reductions that take place in the near future</w:t>
      </w:r>
      <w:r>
        <w:rPr>
          <w:rFonts w:asciiTheme="majorHAnsi" w:hAnsiTheme="majorHAnsi" w:cstheme="majorHAnsi"/>
        </w:rPr>
        <w:t xml:space="preserve">, while for example </w:t>
      </w:r>
      <w:r w:rsidRPr="00E6572F">
        <w:rPr>
          <w:rFonts w:asciiTheme="majorHAnsi" w:hAnsiTheme="majorHAnsi" w:cstheme="majorHAnsi"/>
        </w:rPr>
        <w:t xml:space="preserve">Renewable Thermal Credits (RTCs) are immediate and verified emission reductions.  </w:t>
      </w:r>
      <w:r>
        <w:rPr>
          <w:rFonts w:asciiTheme="majorHAnsi" w:hAnsiTheme="majorHAnsi" w:cstheme="majorHAnsi"/>
        </w:rPr>
        <w:t xml:space="preserve">The energy efficiency and fuel switching measures expected to be </w:t>
      </w:r>
      <w:r w:rsidR="009658AE">
        <w:rPr>
          <w:rFonts w:asciiTheme="majorHAnsi" w:hAnsiTheme="majorHAnsi" w:cstheme="majorHAnsi"/>
        </w:rPr>
        <w:t>implemented</w:t>
      </w:r>
      <w:r>
        <w:rPr>
          <w:rFonts w:asciiTheme="majorHAnsi" w:hAnsiTheme="majorHAnsi" w:cstheme="majorHAnsi"/>
        </w:rPr>
        <w:t xml:space="preserve"> </w:t>
      </w:r>
      <w:r w:rsidR="009658AE">
        <w:rPr>
          <w:rFonts w:asciiTheme="majorHAnsi" w:hAnsiTheme="majorHAnsi" w:cstheme="majorHAnsi"/>
        </w:rPr>
        <w:t>with</w:t>
      </w:r>
      <w:r>
        <w:rPr>
          <w:rFonts w:asciiTheme="majorHAnsi" w:hAnsiTheme="majorHAnsi" w:cstheme="majorHAnsi"/>
        </w:rPr>
        <w:t xml:space="preserve"> CCI fund</w:t>
      </w:r>
      <w:r w:rsidR="009658AE">
        <w:rPr>
          <w:rFonts w:asciiTheme="majorHAnsi" w:hAnsiTheme="majorHAnsi" w:cstheme="majorHAnsi"/>
        </w:rPr>
        <w:t xml:space="preserve"> support</w:t>
      </w:r>
      <w:r>
        <w:rPr>
          <w:rFonts w:asciiTheme="majorHAnsi" w:hAnsiTheme="majorHAnsi" w:cstheme="majorHAnsi"/>
        </w:rPr>
        <w:t xml:space="preserve"> all have proven measurement and </w:t>
      </w:r>
      <w:r w:rsidR="009658AE">
        <w:rPr>
          <w:rFonts w:asciiTheme="majorHAnsi" w:hAnsiTheme="majorHAnsi" w:cstheme="majorHAnsi"/>
        </w:rPr>
        <w:t>validation</w:t>
      </w:r>
      <w:r>
        <w:rPr>
          <w:rFonts w:asciiTheme="majorHAnsi" w:hAnsiTheme="majorHAnsi" w:cstheme="majorHAnsi"/>
        </w:rPr>
        <w:t xml:space="preserve"> protocols, just like RTCs.   However, there </w:t>
      </w:r>
      <w:r w:rsidRPr="00E6572F">
        <w:rPr>
          <w:rFonts w:asciiTheme="majorHAnsi" w:hAnsiTheme="majorHAnsi" w:cstheme="majorHAnsi"/>
        </w:rPr>
        <w:t>is a fundamental</w:t>
      </w:r>
      <w:r>
        <w:rPr>
          <w:rFonts w:asciiTheme="majorHAnsi" w:hAnsiTheme="majorHAnsi" w:cstheme="majorHAnsi"/>
        </w:rPr>
        <w:t xml:space="preserve"> timing</w:t>
      </w:r>
      <w:r w:rsidRPr="00E6572F">
        <w:rPr>
          <w:rFonts w:asciiTheme="majorHAnsi" w:hAnsiTheme="majorHAnsi" w:cstheme="majorHAnsi"/>
        </w:rPr>
        <w:t xml:space="preserve"> difference in these two compliance options, </w:t>
      </w:r>
      <w:r>
        <w:rPr>
          <w:rFonts w:asciiTheme="majorHAnsi" w:hAnsiTheme="majorHAnsi" w:cstheme="majorHAnsi"/>
        </w:rPr>
        <w:t xml:space="preserve">but that </w:t>
      </w:r>
      <w:r w:rsidRPr="00E6572F">
        <w:rPr>
          <w:rFonts w:asciiTheme="majorHAnsi" w:hAnsiTheme="majorHAnsi" w:cstheme="majorHAnsi"/>
        </w:rPr>
        <w:t>does not mean CCIs are less effective than RTC</w:t>
      </w:r>
      <w:r>
        <w:rPr>
          <w:rFonts w:asciiTheme="majorHAnsi" w:hAnsiTheme="majorHAnsi" w:cstheme="majorHAnsi"/>
        </w:rPr>
        <w:t>s</w:t>
      </w:r>
      <w:r w:rsidRPr="00E6572F">
        <w:rPr>
          <w:rFonts w:asciiTheme="majorHAnsi" w:hAnsiTheme="majorHAnsi" w:cstheme="majorHAnsi"/>
        </w:rPr>
        <w:t xml:space="preserve">.  Indeed, the opposite is true.  Over the implementation time period for the Climate Protection Plan, CCIs will </w:t>
      </w:r>
      <w:r>
        <w:rPr>
          <w:rFonts w:asciiTheme="majorHAnsi" w:hAnsiTheme="majorHAnsi" w:cstheme="majorHAnsi"/>
        </w:rPr>
        <w:t>deliver</w:t>
      </w:r>
      <w:r w:rsidRPr="00E6572F">
        <w:rPr>
          <w:rFonts w:asciiTheme="majorHAnsi" w:hAnsiTheme="majorHAnsi" w:cstheme="majorHAnsi"/>
        </w:rPr>
        <w:t xml:space="preserve"> 2.5 times more cumulative emission reductions and cost only </w:t>
      </w:r>
      <w:r w:rsidR="00BC0D10">
        <w:rPr>
          <w:rFonts w:asciiTheme="majorHAnsi" w:hAnsiTheme="majorHAnsi" w:cstheme="majorHAnsi"/>
        </w:rPr>
        <w:t>45</w:t>
      </w:r>
      <w:r w:rsidRPr="00E6572F">
        <w:rPr>
          <w:rFonts w:asciiTheme="majorHAnsi" w:hAnsiTheme="majorHAnsi" w:cstheme="majorHAnsi"/>
        </w:rPr>
        <w:t xml:space="preserve">% as much as purchasing RTCs.    </w:t>
      </w:r>
    </w:p>
    <w:p w14:paraId="187B5D03" w14:textId="04EDB6B5" w:rsidR="008308DA" w:rsidRDefault="00146A68" w:rsidP="008308DA">
      <w:pPr>
        <w:spacing w:after="120" w:line="240" w:lineRule="auto"/>
        <w:rPr>
          <w:rFonts w:asciiTheme="majorHAnsi" w:hAnsiTheme="majorHAnsi" w:cstheme="majorHAnsi"/>
        </w:rPr>
      </w:pPr>
      <w:r>
        <w:rPr>
          <w:noProof/>
        </w:rPr>
        <w:drawing>
          <wp:inline distT="0" distB="0" distL="0" distR="0" wp14:anchorId="6A0F68C7" wp14:editId="6EE4266A">
            <wp:extent cx="3028950" cy="1609474"/>
            <wp:effectExtent l="0" t="0" r="0" b="0"/>
            <wp:docPr id="5836898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986" cy="167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1BDD4ECA" wp14:editId="63612368">
            <wp:extent cx="3077313" cy="1607185"/>
            <wp:effectExtent l="0" t="0" r="8890" b="0"/>
            <wp:docPr id="153801429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90" cy="162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BEE4B" w14:textId="4C0712A7" w:rsidR="008308DA" w:rsidRPr="00E6572F" w:rsidRDefault="008308DA" w:rsidP="008308DA">
      <w:pPr>
        <w:spacing w:after="120" w:line="240" w:lineRule="auto"/>
        <w:rPr>
          <w:rFonts w:asciiTheme="majorHAnsi" w:hAnsiTheme="majorHAnsi" w:cstheme="majorHAnsi"/>
        </w:rPr>
      </w:pPr>
      <w:r w:rsidRPr="00E6572F">
        <w:rPr>
          <w:rFonts w:asciiTheme="majorHAnsi" w:hAnsiTheme="majorHAnsi" w:cstheme="majorHAnsi"/>
        </w:rPr>
        <w:t xml:space="preserve">Details of these calculation </w:t>
      </w:r>
      <w:r>
        <w:rPr>
          <w:rFonts w:asciiTheme="majorHAnsi" w:hAnsiTheme="majorHAnsi" w:cstheme="majorHAnsi"/>
        </w:rPr>
        <w:t xml:space="preserve">are summarized in the Annex to these </w:t>
      </w:r>
      <w:r w:rsidRPr="00E6572F">
        <w:rPr>
          <w:rFonts w:asciiTheme="majorHAnsi" w:hAnsiTheme="majorHAnsi" w:cstheme="majorHAnsi"/>
        </w:rPr>
        <w:t xml:space="preserve">comments.  In summary, the calculation compares the cost and actual emission reductions resulting from an annual purchase of 1 RTC versus 1 CCI from 2025 thru 2050.   The calculation includes an assumed 50% carbon intensity for RTCs, and cost data from the Tranche 1 and 2 cost categories in the NWN IRP.  For CCIs, the </w:t>
      </w:r>
      <w:r w:rsidR="00BC0D10">
        <w:rPr>
          <w:rFonts w:asciiTheme="majorHAnsi" w:hAnsiTheme="majorHAnsi" w:cstheme="majorHAnsi"/>
        </w:rPr>
        <w:t>most recent</w:t>
      </w:r>
      <w:r w:rsidRPr="00E6572F">
        <w:rPr>
          <w:rFonts w:asciiTheme="majorHAnsi" w:hAnsiTheme="majorHAnsi" w:cstheme="majorHAnsi"/>
        </w:rPr>
        <w:t xml:space="preserve"> estimate for the social cost of carbon </w:t>
      </w:r>
      <w:r w:rsidR="009658AE">
        <w:rPr>
          <w:rFonts w:asciiTheme="majorHAnsi" w:hAnsiTheme="majorHAnsi" w:cstheme="majorHAnsi"/>
        </w:rPr>
        <w:t xml:space="preserve">in 2025 </w:t>
      </w:r>
      <w:r w:rsidRPr="00E6572F">
        <w:rPr>
          <w:rFonts w:asciiTheme="majorHAnsi" w:hAnsiTheme="majorHAnsi" w:cstheme="majorHAnsi"/>
        </w:rPr>
        <w:t>of $1</w:t>
      </w:r>
      <w:r w:rsidR="00BC0D10">
        <w:rPr>
          <w:rFonts w:asciiTheme="majorHAnsi" w:hAnsiTheme="majorHAnsi" w:cstheme="majorHAnsi"/>
        </w:rPr>
        <w:t>90</w:t>
      </w:r>
      <w:r w:rsidRPr="00E6572F">
        <w:rPr>
          <w:rFonts w:asciiTheme="majorHAnsi" w:hAnsiTheme="majorHAnsi" w:cstheme="majorHAnsi"/>
        </w:rPr>
        <w:t>/Mt</w:t>
      </w:r>
      <w:r w:rsidR="009658AE">
        <w:rPr>
          <w:rFonts w:asciiTheme="majorHAnsi" w:hAnsiTheme="majorHAnsi" w:cstheme="majorHAnsi"/>
        </w:rPr>
        <w:t xml:space="preserve"> was used</w:t>
      </w:r>
      <w:r w:rsidRPr="00E6572F">
        <w:rPr>
          <w:rFonts w:asciiTheme="majorHAnsi" w:hAnsiTheme="majorHAnsi" w:cstheme="majorHAnsi"/>
        </w:rPr>
        <w:t xml:space="preserve">, and </w:t>
      </w:r>
      <w:r w:rsidR="009658AE">
        <w:rPr>
          <w:rFonts w:asciiTheme="majorHAnsi" w:hAnsiTheme="majorHAnsi" w:cstheme="majorHAnsi"/>
        </w:rPr>
        <w:t>the</w:t>
      </w:r>
      <w:r w:rsidRPr="00E6572F">
        <w:rPr>
          <w:rFonts w:asciiTheme="majorHAnsi" w:hAnsiTheme="majorHAnsi" w:cstheme="majorHAnsi"/>
        </w:rPr>
        <w:t xml:space="preserve"> average time </w:t>
      </w:r>
      <w:r>
        <w:rPr>
          <w:rFonts w:asciiTheme="majorHAnsi" w:hAnsiTheme="majorHAnsi" w:cstheme="majorHAnsi"/>
        </w:rPr>
        <w:t>that</w:t>
      </w:r>
      <w:r w:rsidRPr="00E6572F">
        <w:rPr>
          <w:rFonts w:asciiTheme="majorHAnsi" w:hAnsiTheme="majorHAnsi" w:cstheme="majorHAnsi"/>
        </w:rPr>
        <w:t xml:space="preserve"> project</w:t>
      </w:r>
      <w:r>
        <w:rPr>
          <w:rFonts w:asciiTheme="majorHAnsi" w:hAnsiTheme="majorHAnsi" w:cstheme="majorHAnsi"/>
        </w:rPr>
        <w:t>s</w:t>
      </w:r>
      <w:r w:rsidRPr="00E6572F">
        <w:rPr>
          <w:rFonts w:asciiTheme="majorHAnsi" w:hAnsiTheme="majorHAnsi" w:cstheme="majorHAnsi"/>
        </w:rPr>
        <w:t xml:space="preserve"> return 1 Mt of cumulative emission reductions</w:t>
      </w:r>
      <w:r w:rsidR="009658AE">
        <w:rPr>
          <w:rFonts w:asciiTheme="majorHAnsi" w:hAnsiTheme="majorHAnsi" w:cstheme="majorHAnsi"/>
        </w:rPr>
        <w:t xml:space="preserve"> was estimated at 10 years b</w:t>
      </w:r>
      <w:r w:rsidRPr="00E6572F">
        <w:rPr>
          <w:rFonts w:asciiTheme="majorHAnsi" w:hAnsiTheme="majorHAnsi" w:cstheme="majorHAnsi"/>
        </w:rPr>
        <w:t>ased on a likely mix of projects and their overall effectiveness.</w:t>
      </w:r>
    </w:p>
    <w:p w14:paraId="0942D2C4" w14:textId="6B22E846" w:rsidR="008308DA" w:rsidRDefault="008308DA" w:rsidP="000E63B3">
      <w:pPr>
        <w:spacing w:after="120" w:line="240" w:lineRule="auto"/>
        <w:rPr>
          <w:rFonts w:asciiTheme="majorHAnsi" w:hAnsiTheme="majorHAnsi" w:cstheme="majorHAnsi"/>
        </w:rPr>
      </w:pPr>
      <w:r w:rsidRPr="009658AE">
        <w:rPr>
          <w:rFonts w:asciiTheme="majorHAnsi" w:hAnsiTheme="majorHAnsi" w:cstheme="majorHAnsi"/>
          <w:b/>
          <w:bCs/>
          <w:i/>
          <w:iCs/>
        </w:rPr>
        <w:t>This analysis shows conclusively that the CCI program, as originally conceived, provides significant better overall results for dramatically lower cost.</w:t>
      </w:r>
      <w:r w:rsidRPr="00E6572F">
        <w:rPr>
          <w:rFonts w:asciiTheme="majorHAnsi" w:hAnsiTheme="majorHAnsi" w:cstheme="majorHAnsi"/>
        </w:rPr>
        <w:t xml:space="preserve">   In addition, the scope and nature of the program are also best suited to directly benefitting Oregonians, and to achieving the program’s equity-based goals.  </w:t>
      </w:r>
    </w:p>
    <w:p w14:paraId="1CEF8A6D" w14:textId="28A83292" w:rsidR="00F17C56" w:rsidRPr="00E6572F" w:rsidRDefault="00F17C56" w:rsidP="000E63B3">
      <w:pPr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for the opportunity to comment on this important matter.</w:t>
      </w:r>
    </w:p>
    <w:p w14:paraId="254DE39C" w14:textId="3587A064" w:rsidR="009977EA" w:rsidRPr="009658AE" w:rsidRDefault="009977EA" w:rsidP="009977EA">
      <w:pPr>
        <w:pStyle w:val="NoSpacing"/>
        <w:rPr>
          <w:rFonts w:asciiTheme="majorHAnsi" w:hAnsiTheme="majorHAnsi" w:cstheme="majorHAnsi"/>
          <w:b/>
          <w:bCs/>
        </w:rPr>
      </w:pPr>
      <w:r w:rsidRPr="009658AE">
        <w:rPr>
          <w:rFonts w:asciiTheme="majorHAnsi" w:hAnsiTheme="majorHAnsi" w:cstheme="majorHAnsi"/>
          <w:b/>
          <w:bCs/>
        </w:rPr>
        <w:lastRenderedPageBreak/>
        <w:t>MCAT Steering Committee</w:t>
      </w:r>
    </w:p>
    <w:p w14:paraId="562C964B" w14:textId="4946217B" w:rsidR="009658AE" w:rsidRDefault="009977EA" w:rsidP="00B30E07">
      <w:pPr>
        <w:pStyle w:val="NoSpacing"/>
        <w:rPr>
          <w:rFonts w:asciiTheme="majorHAnsi" w:hAnsiTheme="majorHAnsi" w:cstheme="majorHAnsi"/>
        </w:rPr>
      </w:pPr>
      <w:r w:rsidRPr="009977EA">
        <w:rPr>
          <w:rFonts w:asciiTheme="majorHAnsi" w:hAnsiTheme="majorHAnsi" w:cstheme="majorHAnsi"/>
        </w:rPr>
        <w:t>Brett Baylor, Rick Brown, Linda Craig, Pat DeLaquil, Dan Frye, Debby Garman, KB Mercer, Michael Mitton, Rich Peppers, Rand Schenck, Jane Stackhouse, Joe Stenger and Catherine Thomasson</w:t>
      </w:r>
    </w:p>
    <w:p w14:paraId="115EB939" w14:textId="77777777" w:rsidR="00ED2CA3" w:rsidRDefault="00ED2CA3" w:rsidP="00793BE5">
      <w:pPr>
        <w:pStyle w:val="Heading1"/>
        <w:jc w:val="left"/>
      </w:pPr>
    </w:p>
    <w:p w14:paraId="6832246A" w14:textId="74E1B160" w:rsidR="00C366A3" w:rsidRPr="000176C9" w:rsidRDefault="009977EA" w:rsidP="00793BE5">
      <w:pPr>
        <w:pStyle w:val="Heading1"/>
        <w:jc w:val="left"/>
      </w:pPr>
      <w:r>
        <w:t>Annex on CCI versus RTC Calculations</w:t>
      </w:r>
    </w:p>
    <w:p w14:paraId="2B7EDE49" w14:textId="437CF336" w:rsidR="0058070D" w:rsidRDefault="00CA48FD" w:rsidP="00CA48FD">
      <w:r>
        <w:t>This calculation c</w:t>
      </w:r>
      <w:r w:rsidR="00154603">
        <w:t>ompare</w:t>
      </w:r>
      <w:r>
        <w:t>s the</w:t>
      </w:r>
      <w:r w:rsidR="00154603">
        <w:t xml:space="preserve"> cost and actual emissions resulting from an annual purchase of 1 RTC versus 1 CCI from 2025 thru 2050.</w:t>
      </w:r>
      <w:r w:rsidR="0058070D">
        <w:t xml:space="preserve">  Because of limitation</w:t>
      </w:r>
      <w:r w:rsidR="00221720">
        <w:t>s</w:t>
      </w:r>
      <w:r w:rsidR="0058070D">
        <w:t xml:space="preserve"> in DEQs </w:t>
      </w:r>
      <w:r w:rsidR="00221720">
        <w:t>authority, RTCs u</w:t>
      </w:r>
      <w:r w:rsidR="0058070D">
        <w:t xml:space="preserve">nder the CPP are given </w:t>
      </w:r>
      <w:r w:rsidR="00221720">
        <w:t xml:space="preserve">a </w:t>
      </w:r>
      <w:r w:rsidR="0058070D">
        <w:t xml:space="preserve">0% </w:t>
      </w:r>
      <w:r w:rsidR="00221720">
        <w:t xml:space="preserve">carbon intensity, but in reality, such biofuel credits have a carbon intensity of 30% to more than 60% of fossil fuels.  This calculation accounts for that reality.     Similarly, the calculation also accounts for the </w:t>
      </w:r>
      <w:r w:rsidR="00221720" w:rsidRPr="00221720">
        <w:t xml:space="preserve">average time that </w:t>
      </w:r>
      <w:r w:rsidR="00221720">
        <w:t xml:space="preserve">CCI </w:t>
      </w:r>
      <w:r w:rsidR="00221720" w:rsidRPr="00221720">
        <w:t xml:space="preserve">projects will return 1 Mt of cumulative emission reductions.  </w:t>
      </w:r>
      <w:r w:rsidR="00221720">
        <w:t>Data inputs and assumptions are summarized below:</w:t>
      </w:r>
      <w:r w:rsidR="00BC0D10" w:rsidRPr="00BC0D10">
        <w:t xml:space="preserve"> </w:t>
      </w:r>
    </w:p>
    <w:p w14:paraId="55E323F8" w14:textId="2B8B4665" w:rsidR="00154603" w:rsidRDefault="00BC0D10" w:rsidP="00DE0040">
      <w:pPr>
        <w:pStyle w:val="ListParagraph"/>
        <w:numPr>
          <w:ilvl w:val="0"/>
          <w:numId w:val="8"/>
        </w:numPr>
        <w:spacing w:after="160" w:line="259" w:lineRule="auto"/>
        <w:ind w:left="540"/>
      </w:pPr>
      <w:r w:rsidRPr="00BC0D10">
        <w:drawing>
          <wp:anchor distT="0" distB="0" distL="114300" distR="114300" simplePos="0" relativeHeight="251658240" behindDoc="0" locked="0" layoutInCell="1" allowOverlap="1" wp14:anchorId="7F40081A" wp14:editId="00E64E90">
            <wp:simplePos x="0" y="0"/>
            <wp:positionH relativeFrom="column">
              <wp:posOffset>3562350</wp:posOffset>
            </wp:positionH>
            <wp:positionV relativeFrom="paragraph">
              <wp:posOffset>13970</wp:posOffset>
            </wp:positionV>
            <wp:extent cx="2430780" cy="1694180"/>
            <wp:effectExtent l="0" t="0" r="7620" b="1270"/>
            <wp:wrapSquare wrapText="bothSides"/>
            <wp:docPr id="1972405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603">
        <w:t xml:space="preserve">RTC </w:t>
      </w:r>
      <w:r w:rsidR="00F90643">
        <w:t xml:space="preserve">costs were </w:t>
      </w:r>
      <w:r w:rsidR="00154603">
        <w:t>based on the NWN IRP data for Tranche 1 and 2 RTC cost categories</w:t>
      </w:r>
      <w:r w:rsidR="00F90643">
        <w:t xml:space="preserve">, and vary linearly from the 2025 to the 2050 values shown in the table </w:t>
      </w:r>
      <w:r w:rsidR="00B30E07">
        <w:t>to the right</w:t>
      </w:r>
      <w:r w:rsidR="00F90643">
        <w:t xml:space="preserve">.  </w:t>
      </w:r>
      <w:r w:rsidR="00154603">
        <w:t xml:space="preserve">  </w:t>
      </w:r>
    </w:p>
    <w:p w14:paraId="05E7D7EF" w14:textId="2FEA5C5E" w:rsidR="00154603" w:rsidRDefault="00F90643" w:rsidP="00DE0040">
      <w:pPr>
        <w:pStyle w:val="ListParagraph"/>
        <w:numPr>
          <w:ilvl w:val="0"/>
          <w:numId w:val="8"/>
        </w:numPr>
        <w:spacing w:after="160" w:line="259" w:lineRule="auto"/>
        <w:ind w:left="540"/>
      </w:pPr>
      <w:r>
        <w:t>For this example</w:t>
      </w:r>
      <w:r w:rsidR="00CA48FD">
        <w:t>,</w:t>
      </w:r>
      <w:r>
        <w:t xml:space="preserve"> the RTC</w:t>
      </w:r>
      <w:r w:rsidR="00154603">
        <w:t xml:space="preserve"> carbon intensity</w:t>
      </w:r>
      <w:r>
        <w:t xml:space="preserve"> was assumed to average at 50%</w:t>
      </w:r>
      <w:r w:rsidR="00154603">
        <w:t>,</w:t>
      </w:r>
      <w:r w:rsidR="00CA48FD">
        <w:t xml:space="preserve"> so</w:t>
      </w:r>
      <w:r w:rsidR="00154603">
        <w:t xml:space="preserve"> we are comparing actual emission reduction and costs.</w:t>
      </w:r>
    </w:p>
    <w:p w14:paraId="2A53A273" w14:textId="1427BEC4" w:rsidR="00154603" w:rsidRDefault="00B30E07" w:rsidP="00DE0040">
      <w:pPr>
        <w:pStyle w:val="ListParagraph"/>
        <w:numPr>
          <w:ilvl w:val="0"/>
          <w:numId w:val="8"/>
        </w:numPr>
        <w:spacing w:after="160" w:line="259" w:lineRule="auto"/>
        <w:ind w:left="540"/>
      </w:pPr>
      <w:r>
        <w:t xml:space="preserve">The average </w:t>
      </w:r>
      <w:r w:rsidRPr="00221720">
        <w:t xml:space="preserve">time that </w:t>
      </w:r>
      <w:r>
        <w:t xml:space="preserve">CCI </w:t>
      </w:r>
      <w:r w:rsidRPr="00221720">
        <w:t>projects will return 1 Mt of cumulative emission reductions</w:t>
      </w:r>
      <w:r>
        <w:t xml:space="preserve"> was estimated at </w:t>
      </w:r>
      <w:r w:rsidRPr="00221720">
        <w:t xml:space="preserve">10 years </w:t>
      </w:r>
      <w:r>
        <w:t>b</w:t>
      </w:r>
      <w:r w:rsidR="00CA48FD" w:rsidRPr="00221720">
        <w:t>ased on a likely mix of projects and their overall effectiveness</w:t>
      </w:r>
      <w:r w:rsidR="00154603">
        <w:t>.</w:t>
      </w:r>
    </w:p>
    <w:p w14:paraId="29DFF570" w14:textId="7F3A38B3" w:rsidR="00154603" w:rsidRDefault="00154603" w:rsidP="00B30E07">
      <w:r>
        <w:t xml:space="preserve">The </w:t>
      </w:r>
      <w:r w:rsidR="00961C48">
        <w:t xml:space="preserve">figure below provides a </w:t>
      </w:r>
      <w:r>
        <w:t xml:space="preserve">comparison of </w:t>
      </w:r>
      <w:r w:rsidR="00961C48">
        <w:t xml:space="preserve">the </w:t>
      </w:r>
      <w:r>
        <w:t xml:space="preserve">cumulative metric tons </w:t>
      </w:r>
      <w:r w:rsidR="00961C48">
        <w:t xml:space="preserve">of </w:t>
      </w:r>
      <w:r>
        <w:t xml:space="preserve">actual emission reductions </w:t>
      </w:r>
      <w:r w:rsidR="00961C48">
        <w:t xml:space="preserve">resulting from an annual purchase of 1 RTC versus 1 CCI from 2025 thru 2050.  It </w:t>
      </w:r>
      <w:r>
        <w:t>shows RTC have a small early edge, but after 2035 the CCI reductions begin to significantly exceed those from RTCs</w:t>
      </w:r>
      <w:r w:rsidR="00961C48">
        <w:t>, such that cumulative emission reductions from CCIs are 2.5 times that from RTCs</w:t>
      </w:r>
      <w:r>
        <w:t>.</w:t>
      </w:r>
    </w:p>
    <w:p w14:paraId="2E4596EB" w14:textId="77777777" w:rsidR="00146A68" w:rsidRDefault="00146A68" w:rsidP="00B30E07"/>
    <w:p w14:paraId="44160ED3" w14:textId="508EF8DA" w:rsidR="00146A68" w:rsidRDefault="00146A68" w:rsidP="00B30E07">
      <w:r>
        <w:rPr>
          <w:noProof/>
        </w:rPr>
        <w:drawing>
          <wp:inline distT="0" distB="0" distL="0" distR="0" wp14:anchorId="586CA135" wp14:editId="0A00138D">
            <wp:extent cx="5485226" cy="2914650"/>
            <wp:effectExtent l="0" t="0" r="1270" b="0"/>
            <wp:docPr id="53119473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341" cy="292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4DCA62" w14:textId="3FFAB52E" w:rsidR="00154603" w:rsidRDefault="00154603" w:rsidP="00B30E07"/>
    <w:p w14:paraId="5ED67F92" w14:textId="77777777" w:rsidR="00961C48" w:rsidRDefault="00961C48" w:rsidP="00B30E07"/>
    <w:p w14:paraId="5EA7A199" w14:textId="2CF1001A" w:rsidR="00961C48" w:rsidRDefault="00961C48" w:rsidP="00961C48">
      <w:r>
        <w:t>The next figure below shows the cumulative cost for the annual purchase of 1 RTC versus 1 CCI.  Given that CCI are both less costly and more effective over time, the cumulative cost of CCIs is significantly lower than RTC over the entire time horizon.</w:t>
      </w:r>
    </w:p>
    <w:p w14:paraId="3DE416EE" w14:textId="65C8BA2B" w:rsidR="00146A68" w:rsidRDefault="00146A68" w:rsidP="00961C48">
      <w:r>
        <w:rPr>
          <w:noProof/>
        </w:rPr>
        <w:drawing>
          <wp:inline distT="0" distB="0" distL="0" distR="0" wp14:anchorId="4A10F567" wp14:editId="653B7215">
            <wp:extent cx="5474970" cy="2861073"/>
            <wp:effectExtent l="0" t="0" r="0" b="0"/>
            <wp:docPr id="8415786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22" cy="2865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3906D5" w14:textId="77777777" w:rsidR="00961C48" w:rsidRDefault="00961C48" w:rsidP="00961C48"/>
    <w:p w14:paraId="416757F6" w14:textId="597FAF6A" w:rsidR="00154603" w:rsidRDefault="00E41712" w:rsidP="00B30E07">
      <w:r>
        <w:t>The calculation was done on an annual basis, and a summary of the 5-year interval values is provided in the table below, which is based on the inputs provided in the table at the start of this Annex.</w:t>
      </w:r>
    </w:p>
    <w:p w14:paraId="13E95A55" w14:textId="77777777" w:rsidR="00154603" w:rsidRDefault="00154603" w:rsidP="000A283C">
      <w:pPr>
        <w:pStyle w:val="NoSpacing"/>
        <w:rPr>
          <w:rFonts w:asciiTheme="majorHAnsi" w:hAnsiTheme="majorHAnsi" w:cstheme="majorHAnsi"/>
        </w:rPr>
      </w:pPr>
    </w:p>
    <w:p w14:paraId="726625C5" w14:textId="073485DB" w:rsidR="00E41712" w:rsidRPr="000A283C" w:rsidRDefault="00BC0D10" w:rsidP="000A283C">
      <w:pPr>
        <w:pStyle w:val="NoSpacing"/>
        <w:rPr>
          <w:rFonts w:asciiTheme="majorHAnsi" w:hAnsiTheme="majorHAnsi" w:cstheme="majorHAnsi"/>
        </w:rPr>
      </w:pPr>
      <w:r w:rsidRPr="00BC0D10">
        <w:drawing>
          <wp:inline distT="0" distB="0" distL="0" distR="0" wp14:anchorId="08091024" wp14:editId="022AE253">
            <wp:extent cx="5606300" cy="3185160"/>
            <wp:effectExtent l="0" t="0" r="0" b="0"/>
            <wp:docPr id="828409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81" cy="31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712" w:rsidRPr="000A283C" w:rsidSect="003F30D9">
      <w:footerReference w:type="default" r:id="rId13"/>
      <w:headerReference w:type="first" r:id="rId14"/>
      <w:footerReference w:type="first" r:id="rId15"/>
      <w:pgSz w:w="12240" w:h="15840"/>
      <w:pgMar w:top="1440" w:right="1296" w:bottom="1008" w:left="12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EE624" w14:textId="77777777" w:rsidR="00C61210" w:rsidRDefault="00C61210">
      <w:pPr>
        <w:spacing w:line="240" w:lineRule="auto"/>
      </w:pPr>
      <w:r>
        <w:separator/>
      </w:r>
    </w:p>
  </w:endnote>
  <w:endnote w:type="continuationSeparator" w:id="0">
    <w:p w14:paraId="0EC35ACA" w14:textId="77777777" w:rsidR="00C61210" w:rsidRDefault="00C61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51" w14:textId="60373B76" w:rsidR="00C8381F" w:rsidRDefault="008D6E94" w:rsidP="009658AE">
    <w:pPr>
      <w:jc w:val="center"/>
    </w:pPr>
    <w:r>
      <w:fldChar w:fldCharType="begin"/>
    </w:r>
    <w:r>
      <w:instrText>PAGE</w:instrText>
    </w:r>
    <w:r>
      <w:fldChar w:fldCharType="separate"/>
    </w:r>
    <w:r w:rsidR="005137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7C43" w14:textId="5189FBA4" w:rsidR="009658AE" w:rsidRDefault="009658AE" w:rsidP="009658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2A4D4" w14:textId="77777777" w:rsidR="00C61210" w:rsidRDefault="00C61210">
      <w:pPr>
        <w:spacing w:line="240" w:lineRule="auto"/>
      </w:pPr>
      <w:r>
        <w:separator/>
      </w:r>
    </w:p>
  </w:footnote>
  <w:footnote w:type="continuationSeparator" w:id="0">
    <w:p w14:paraId="42EA2A84" w14:textId="77777777" w:rsidR="00C61210" w:rsidRDefault="00C612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1F81" w14:textId="73354DA9" w:rsidR="008308DA" w:rsidRDefault="008308DA" w:rsidP="008308DA">
    <w:pPr>
      <w:pStyle w:val="Header"/>
      <w:jc w:val="center"/>
    </w:pPr>
    <w:r>
      <w:rPr>
        <w:noProof/>
      </w:rPr>
      <w:drawing>
        <wp:inline distT="0" distB="0" distL="0" distR="0" wp14:anchorId="5EF13644" wp14:editId="66BBC1DE">
          <wp:extent cx="2426970" cy="773726"/>
          <wp:effectExtent l="0" t="0" r="0" b="7620"/>
          <wp:docPr id="8472409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521908" name="Picture 991521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2874" cy="78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09F"/>
    <w:multiLevelType w:val="multilevel"/>
    <w:tmpl w:val="EF260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5629D"/>
    <w:multiLevelType w:val="hybridMultilevel"/>
    <w:tmpl w:val="B54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730F"/>
    <w:multiLevelType w:val="multilevel"/>
    <w:tmpl w:val="B122D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2232E"/>
    <w:multiLevelType w:val="hybridMultilevel"/>
    <w:tmpl w:val="2A1CBA98"/>
    <w:lvl w:ilvl="0" w:tplc="CF1AA0EC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5223C"/>
    <w:multiLevelType w:val="hybridMultilevel"/>
    <w:tmpl w:val="033EAF3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7163289"/>
    <w:multiLevelType w:val="multilevel"/>
    <w:tmpl w:val="F1A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AE77FA"/>
    <w:multiLevelType w:val="hybridMultilevel"/>
    <w:tmpl w:val="2B36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7B38"/>
    <w:multiLevelType w:val="multilevel"/>
    <w:tmpl w:val="D408C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952A31"/>
    <w:multiLevelType w:val="multilevel"/>
    <w:tmpl w:val="BCB4F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161D19"/>
    <w:multiLevelType w:val="multilevel"/>
    <w:tmpl w:val="F7702C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192836169">
    <w:abstractNumId w:val="2"/>
  </w:num>
  <w:num w:numId="2" w16cid:durableId="1880045756">
    <w:abstractNumId w:val="0"/>
  </w:num>
  <w:num w:numId="3" w16cid:durableId="299961820">
    <w:abstractNumId w:val="7"/>
  </w:num>
  <w:num w:numId="4" w16cid:durableId="15350577">
    <w:abstractNumId w:val="8"/>
  </w:num>
  <w:num w:numId="5" w16cid:durableId="626741971">
    <w:abstractNumId w:val="9"/>
  </w:num>
  <w:num w:numId="6" w16cid:durableId="219172082">
    <w:abstractNumId w:val="4"/>
  </w:num>
  <w:num w:numId="7" w16cid:durableId="346172857">
    <w:abstractNumId w:val="5"/>
  </w:num>
  <w:num w:numId="8" w16cid:durableId="1011614122">
    <w:abstractNumId w:val="1"/>
  </w:num>
  <w:num w:numId="9" w16cid:durableId="1128622709">
    <w:abstractNumId w:val="3"/>
  </w:num>
  <w:num w:numId="10" w16cid:durableId="13440447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1F"/>
    <w:rsid w:val="00004D3A"/>
    <w:rsid w:val="00011147"/>
    <w:rsid w:val="000176C9"/>
    <w:rsid w:val="0003576B"/>
    <w:rsid w:val="00040425"/>
    <w:rsid w:val="00041413"/>
    <w:rsid w:val="0008767F"/>
    <w:rsid w:val="00097F21"/>
    <w:rsid w:val="000A283C"/>
    <w:rsid w:val="000E63B3"/>
    <w:rsid w:val="00103CA3"/>
    <w:rsid w:val="00146258"/>
    <w:rsid w:val="00146A68"/>
    <w:rsid w:val="00154603"/>
    <w:rsid w:val="001616CB"/>
    <w:rsid w:val="001867CC"/>
    <w:rsid w:val="001A4E40"/>
    <w:rsid w:val="001C6C89"/>
    <w:rsid w:val="002135DF"/>
    <w:rsid w:val="00221720"/>
    <w:rsid w:val="00232AB6"/>
    <w:rsid w:val="002978F0"/>
    <w:rsid w:val="002A16A2"/>
    <w:rsid w:val="002F6E90"/>
    <w:rsid w:val="00325094"/>
    <w:rsid w:val="00347A93"/>
    <w:rsid w:val="003F30D9"/>
    <w:rsid w:val="003F3A3D"/>
    <w:rsid w:val="003F4854"/>
    <w:rsid w:val="00476893"/>
    <w:rsid w:val="005137E7"/>
    <w:rsid w:val="005316C6"/>
    <w:rsid w:val="0053465C"/>
    <w:rsid w:val="0053613F"/>
    <w:rsid w:val="00573453"/>
    <w:rsid w:val="0058070D"/>
    <w:rsid w:val="005C6C80"/>
    <w:rsid w:val="00615C70"/>
    <w:rsid w:val="006478FD"/>
    <w:rsid w:val="0066157A"/>
    <w:rsid w:val="006663D2"/>
    <w:rsid w:val="00691A36"/>
    <w:rsid w:val="00744ABF"/>
    <w:rsid w:val="00793BE5"/>
    <w:rsid w:val="007E7F34"/>
    <w:rsid w:val="007F215A"/>
    <w:rsid w:val="008308DA"/>
    <w:rsid w:val="008471B1"/>
    <w:rsid w:val="008606F0"/>
    <w:rsid w:val="00895C47"/>
    <w:rsid w:val="008A1654"/>
    <w:rsid w:val="008D392C"/>
    <w:rsid w:val="008D6E94"/>
    <w:rsid w:val="009411B5"/>
    <w:rsid w:val="00961C48"/>
    <w:rsid w:val="009658AE"/>
    <w:rsid w:val="009977EA"/>
    <w:rsid w:val="009E1C30"/>
    <w:rsid w:val="00A00AA6"/>
    <w:rsid w:val="00A12155"/>
    <w:rsid w:val="00A41371"/>
    <w:rsid w:val="00A51F31"/>
    <w:rsid w:val="00A646EF"/>
    <w:rsid w:val="00AB7E05"/>
    <w:rsid w:val="00B30E07"/>
    <w:rsid w:val="00B72C0B"/>
    <w:rsid w:val="00B82E2B"/>
    <w:rsid w:val="00BC0D10"/>
    <w:rsid w:val="00BF131C"/>
    <w:rsid w:val="00C17708"/>
    <w:rsid w:val="00C366A3"/>
    <w:rsid w:val="00C61210"/>
    <w:rsid w:val="00C8381F"/>
    <w:rsid w:val="00C962C2"/>
    <w:rsid w:val="00CA48FD"/>
    <w:rsid w:val="00CF02BF"/>
    <w:rsid w:val="00D25DF4"/>
    <w:rsid w:val="00D26B54"/>
    <w:rsid w:val="00DD0393"/>
    <w:rsid w:val="00DE0040"/>
    <w:rsid w:val="00E00BE1"/>
    <w:rsid w:val="00E05117"/>
    <w:rsid w:val="00E41712"/>
    <w:rsid w:val="00E819F8"/>
    <w:rsid w:val="00ED2CA3"/>
    <w:rsid w:val="00EE1D24"/>
    <w:rsid w:val="00EE65BA"/>
    <w:rsid w:val="00EE6D46"/>
    <w:rsid w:val="00EF38F5"/>
    <w:rsid w:val="00F17C56"/>
    <w:rsid w:val="00F47F90"/>
    <w:rsid w:val="00F579AA"/>
    <w:rsid w:val="00F90643"/>
    <w:rsid w:val="00FB1E94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746854"/>
  <w15:docId w15:val="{4F05E0AC-1648-46C1-B13E-FFB9821D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6C9"/>
    <w:rPr>
      <w:rFonts w:ascii="Calibri" w:hAnsi="Calibri"/>
    </w:rPr>
  </w:style>
  <w:style w:type="paragraph" w:styleId="Heading1">
    <w:name w:val="heading 1"/>
    <w:basedOn w:val="Normal"/>
    <w:next w:val="Normal"/>
    <w:uiPriority w:val="9"/>
    <w:qFormat/>
    <w:rsid w:val="00C366A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uiPriority w:val="9"/>
    <w:unhideWhenUsed/>
    <w:qFormat/>
    <w:rsid w:val="00D25DF4"/>
    <w:pPr>
      <w:numPr>
        <w:numId w:val="9"/>
      </w:numPr>
      <w:spacing w:before="120" w:line="240" w:lineRule="auto"/>
      <w:outlineLvl w:val="1"/>
    </w:pPr>
    <w:rPr>
      <w:rFonts w:asciiTheme="majorHAnsi" w:hAnsiTheme="majorHAnsi" w:cstheme="majorHAnsi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691A36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962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7A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47A93"/>
    <w:pPr>
      <w:spacing w:after="195" w:line="240" w:lineRule="auto"/>
    </w:pPr>
    <w:rPr>
      <w:rFonts w:eastAsiaTheme="minorHAnsi" w:cs="Calibri"/>
      <w:lang w:val="en-US"/>
    </w:rPr>
  </w:style>
  <w:style w:type="paragraph" w:customStyle="1" w:styleId="css-1k0bizo">
    <w:name w:val="css-1k0bizo"/>
    <w:basedOn w:val="Normal"/>
    <w:uiPriority w:val="99"/>
    <w:semiHidden/>
    <w:rsid w:val="00347A93"/>
    <w:pPr>
      <w:spacing w:after="195" w:line="240" w:lineRule="auto"/>
    </w:pPr>
    <w:rPr>
      <w:rFonts w:eastAsiaTheme="minorHAnsi" w:cs="Calibri"/>
      <w:lang w:val="en-US"/>
    </w:rPr>
  </w:style>
  <w:style w:type="paragraph" w:customStyle="1" w:styleId="css-mq3m0l">
    <w:name w:val="css-mq3m0l"/>
    <w:basedOn w:val="Normal"/>
    <w:uiPriority w:val="99"/>
    <w:semiHidden/>
    <w:rsid w:val="00347A93"/>
    <w:pPr>
      <w:spacing w:after="195" w:line="240" w:lineRule="auto"/>
    </w:pPr>
    <w:rPr>
      <w:rFonts w:eastAsiaTheme="minorHAnsi" w:cs="Calibri"/>
      <w:lang w:val="en-US"/>
    </w:rPr>
  </w:style>
  <w:style w:type="paragraph" w:customStyle="1" w:styleId="Default">
    <w:name w:val="Default"/>
    <w:rsid w:val="00EE6D4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08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D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8308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D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12CD5-0884-4F9A-B47E-57F59A6F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5782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DeLaquil</dc:creator>
  <cp:lastModifiedBy>Pascal DeLaquil</cp:lastModifiedBy>
  <cp:revision>31</cp:revision>
  <cp:lastPrinted>2024-05-21T23:59:00Z</cp:lastPrinted>
  <dcterms:created xsi:type="dcterms:W3CDTF">2024-05-09T15:55:00Z</dcterms:created>
  <dcterms:modified xsi:type="dcterms:W3CDTF">2024-05-22T02:35:00Z</dcterms:modified>
</cp:coreProperties>
</file>